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ind w:left="7080"/>
        <w:rPr>
          <w:rFonts w:ascii="Verdana" w:hAnsi="Verdana"/>
          <w:highlight w:val="yellow"/>
        </w:rPr>
      </w:pPr>
      <w:bookmarkStart w:id="0" w:name="_GoBack"/>
      <w:bookmarkEnd w:id="0"/>
    </w:p>
    <w:p>
      <w:pPr>
        <w:ind w:left="7080"/>
        <w:rPr>
          <w:rFonts w:ascii="Verdana" w:hAnsi="Verdana"/>
          <w:highlight w:val="yellow"/>
        </w:rPr>
      </w:pPr>
    </w:p>
    <w:p>
      <w:pPr>
        <w:ind w:left="7080"/>
        <w:rPr>
          <w:rFonts w:ascii="Verdana" w:hAnsi="Verdana"/>
          <w:highlight w:val="yellow"/>
        </w:rPr>
      </w:pPr>
    </w:p>
    <w:p>
      <w:pPr>
        <w:ind w:left="6372"/>
        <w:rPr>
          <w:rFonts w:ascii="Verdana" w:hAnsi="Verdana"/>
        </w:rPr>
      </w:pPr>
      <w:r>
        <w:rPr>
          <w:rFonts w:ascii="Verdana" w:hAnsi="Verdana"/>
        </w:rPr>
        <w:t>DATE : le 25 novembre 2020</w:t>
      </w:r>
    </w:p>
    <w:p>
      <w:pPr>
        <w:pBdr>
          <w:top w:val="single" w:sz="4" w:space="1" w:color="000000"/>
          <w:left w:val="single" w:sz="4" w:space="4" w:color="000000"/>
          <w:bottom w:val="single" w:sz="4" w:space="1" w:color="000000"/>
          <w:right w:val="single" w:sz="4" w:space="4" w:color="000000"/>
        </w:pBdr>
        <w:jc w:val="center"/>
        <w:rPr>
          <w:rFonts w:ascii="Verdana" w:hAnsi="Verdana"/>
          <w:b/>
        </w:rPr>
      </w:pPr>
      <w:r>
        <w:rPr>
          <w:rFonts w:ascii="Verdana" w:hAnsi="Verdana"/>
          <w:b/>
        </w:rPr>
        <w:t xml:space="preserve">PREMIER APPEL </w:t>
      </w:r>
    </w:p>
    <w:p>
      <w:pPr>
        <w:pBdr>
          <w:top w:val="single" w:sz="4" w:space="1" w:color="000000"/>
          <w:left w:val="single" w:sz="4" w:space="4" w:color="000000"/>
          <w:bottom w:val="single" w:sz="4" w:space="1" w:color="000000"/>
          <w:right w:val="single" w:sz="4" w:space="4" w:color="000000"/>
        </w:pBdr>
        <w:jc w:val="center"/>
        <w:rPr>
          <w:rFonts w:ascii="Verdana" w:hAnsi="Verdana"/>
          <w:b/>
        </w:rPr>
      </w:pPr>
      <w:r>
        <w:rPr>
          <w:rFonts w:ascii="Verdana" w:hAnsi="Verdana"/>
          <w:b/>
        </w:rPr>
        <w:t xml:space="preserve">A CANDIDATURES A UNE FONCTION DE DIRECTEUR (H/F/X)  </w:t>
      </w:r>
    </w:p>
    <w:p>
      <w:pPr>
        <w:pBdr>
          <w:top w:val="single" w:sz="4" w:space="1" w:color="000000"/>
          <w:left w:val="single" w:sz="4" w:space="4" w:color="000000"/>
          <w:bottom w:val="single" w:sz="4" w:space="1" w:color="000000"/>
          <w:right w:val="single" w:sz="4" w:space="4" w:color="000000"/>
        </w:pBdr>
        <w:jc w:val="center"/>
        <w:rPr>
          <w:rFonts w:ascii="Verdana" w:hAnsi="Verdana"/>
          <w:b/>
        </w:rPr>
      </w:pPr>
      <w:r>
        <w:rPr>
          <w:rFonts w:ascii="Verdana" w:hAnsi="Verdana"/>
          <w:b/>
        </w:rPr>
        <w:t xml:space="preserve">DANS UNE ECOLE  FONDAMENTALE </w:t>
      </w:r>
    </w:p>
    <w:p>
      <w:pPr>
        <w:pBdr>
          <w:top w:val="single" w:sz="4" w:space="1" w:color="000000"/>
          <w:left w:val="single" w:sz="4" w:space="4" w:color="000000"/>
          <w:bottom w:val="single" w:sz="4" w:space="1" w:color="000000"/>
          <w:right w:val="single" w:sz="4" w:space="4" w:color="000000"/>
        </w:pBdr>
        <w:jc w:val="center"/>
        <w:rPr>
          <w:rFonts w:ascii="Verdana" w:hAnsi="Verdana"/>
          <w:b/>
        </w:rPr>
      </w:pPr>
      <w:r>
        <w:rPr>
          <w:rFonts w:ascii="Verdana" w:hAnsi="Verdana"/>
          <w:b/>
        </w:rPr>
        <w:t>ORDINAIRE ANNEXÉE</w:t>
      </w:r>
    </w:p>
    <w:p>
      <w:pPr>
        <w:pBdr>
          <w:top w:val="single" w:sz="4" w:space="1" w:color="000000"/>
          <w:left w:val="single" w:sz="4" w:space="4" w:color="000000"/>
          <w:bottom w:val="single" w:sz="4" w:space="1" w:color="000000"/>
          <w:right w:val="single" w:sz="4" w:space="4" w:color="000000"/>
        </w:pBdr>
        <w:jc w:val="center"/>
        <w:rPr>
          <w:rFonts w:ascii="Verdana" w:hAnsi="Verdana"/>
          <w:b/>
        </w:rPr>
      </w:pPr>
      <w:r>
        <w:rPr>
          <w:rFonts w:ascii="Verdana" w:hAnsi="Verdana"/>
          <w:b/>
        </w:rPr>
        <w:t>-</w:t>
      </w:r>
    </w:p>
    <w:p>
      <w:pPr>
        <w:pBdr>
          <w:top w:val="single" w:sz="4" w:space="1" w:color="000000"/>
          <w:left w:val="single" w:sz="4" w:space="4" w:color="000000"/>
          <w:bottom w:val="single" w:sz="4" w:space="1" w:color="000000"/>
          <w:right w:val="single" w:sz="4" w:space="4" w:color="000000"/>
        </w:pBdr>
        <w:jc w:val="center"/>
        <w:rPr>
          <w:rFonts w:ascii="Verdana" w:hAnsi="Verdana"/>
          <w:b/>
        </w:rPr>
      </w:pPr>
      <w:r>
        <w:rPr>
          <w:rFonts w:ascii="Verdana" w:hAnsi="Verdana"/>
          <w:b/>
        </w:rPr>
        <w:t>ADMISSION AU STAGE</w:t>
      </w:r>
    </w:p>
    <w:p>
      <w:pPr>
        <w:pBdr>
          <w:top w:val="single" w:sz="4" w:space="1" w:color="000000"/>
          <w:left w:val="single" w:sz="4" w:space="4" w:color="000000"/>
          <w:bottom w:val="single" w:sz="4" w:space="1" w:color="000000"/>
          <w:right w:val="single" w:sz="4" w:space="4" w:color="000000"/>
        </w:pBdr>
        <w:rPr>
          <w:rFonts w:ascii="Verdana" w:hAnsi="Verdana"/>
          <w:u w:val="single"/>
        </w:rPr>
      </w:pPr>
      <w:r>
        <w:rPr>
          <w:rFonts w:ascii="Verdana" w:hAnsi="Verdana"/>
          <w:u w:val="single"/>
        </w:rPr>
        <w:t>Coordonnées du P.O.</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Nom : Wallonie-Bruxelles-Enseignement (WBE)</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Adresse : Boulevard du Jardin Botanique 20-22, 1000 Bruxelles</w:t>
      </w:r>
    </w:p>
    <w:p>
      <w:pPr>
        <w:pBdr>
          <w:top w:val="single" w:sz="4" w:space="1" w:color="000000"/>
          <w:left w:val="single" w:sz="4" w:space="4" w:color="000000"/>
          <w:bottom w:val="single" w:sz="4" w:space="1" w:color="000000"/>
          <w:right w:val="single" w:sz="4" w:space="4" w:color="000000"/>
        </w:pBdr>
        <w:rPr>
          <w:rStyle w:val="LienInternet"/>
          <w:rFonts w:ascii="Verdana" w:hAnsi="Verdana"/>
        </w:rPr>
      </w:pPr>
      <w:r>
        <w:rPr>
          <w:rFonts w:ascii="Verdana" w:hAnsi="Verdana"/>
        </w:rPr>
        <w:t xml:space="preserve">Adresse électronique : </w:t>
      </w:r>
      <w:hyperlink r:id="rId9">
        <w:r>
          <w:rPr>
            <w:rStyle w:val="LienInternet"/>
            <w:rFonts w:ascii="Verdana" w:hAnsi="Verdana"/>
          </w:rPr>
          <w:t>selection.promotion(at)w-b-e.be</w:t>
        </w:r>
      </w:hyperlink>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Site web : https://www.w-b-e.be/</w:t>
      </w:r>
    </w:p>
    <w:p>
      <w:pPr>
        <w:pBdr>
          <w:top w:val="single" w:sz="4" w:space="1" w:color="000000"/>
          <w:left w:val="single" w:sz="4" w:space="4" w:color="000000"/>
          <w:bottom w:val="single" w:sz="4" w:space="1" w:color="000000"/>
          <w:right w:val="single" w:sz="4" w:space="4" w:color="000000"/>
        </w:pBdr>
        <w:rPr>
          <w:rFonts w:ascii="Verdana" w:hAnsi="Verdana"/>
          <w:u w:val="single"/>
        </w:rPr>
      </w:pPr>
      <w:r>
        <w:rPr>
          <w:rFonts w:ascii="Verdana" w:hAnsi="Verdana"/>
          <w:u w:val="single"/>
        </w:rPr>
        <w:t xml:space="preserve">Coordonnées de l'école </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Nom : Athénée Royal Woluwe-Saint-Lambert</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Adresse : Rue de l’Athénée royal, 75-77. 1200 Bruxelles</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xml:space="preserve">Site web : </w:t>
      </w:r>
      <w:hyperlink r:id="rId10" w:history="1">
        <w:r>
          <w:rPr>
            <w:rStyle w:val="Lienhypertexte"/>
            <w:rFonts w:ascii="Verdana" w:hAnsi="Verdana"/>
          </w:rPr>
          <w:t>http://www.arwsl.be/</w:t>
        </w:r>
      </w:hyperlink>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b/>
        </w:rPr>
        <w:t>Date présumée d’entrée en fonction</w:t>
      </w:r>
      <w:r>
        <w:rPr>
          <w:rFonts w:ascii="Verdana" w:hAnsi="Verdana"/>
        </w:rPr>
        <w:t> : 01/03/2021</w:t>
      </w:r>
    </w:p>
    <w:p>
      <w:pPr>
        <w:rPr>
          <w:rFonts w:ascii="Verdana" w:hAnsi="Verdana"/>
        </w:rPr>
      </w:pPr>
    </w:p>
    <w:p>
      <w:pPr>
        <w:rPr>
          <w:rFonts w:ascii="Verdana" w:hAnsi="Verdana"/>
        </w:rPr>
      </w:pPr>
    </w:p>
    <w:p>
      <w:pPr>
        <w:rPr>
          <w:rFonts w:ascii="Verdana" w:hAnsi="Verdana"/>
        </w:rPr>
      </w:pPr>
    </w:p>
    <w:p>
      <w:pPr>
        <w:rPr>
          <w:rFonts w:ascii="Verdana" w:hAnsi="Verdana"/>
        </w:rPr>
      </w:pPr>
    </w:p>
    <w:p>
      <w:pPr>
        <w:rPr>
          <w:rFonts w:ascii="Verdana" w:hAnsi="Verdana"/>
        </w:rPr>
      </w:pPr>
    </w:p>
    <w:p>
      <w:pPr>
        <w:rPr>
          <w:rFonts w:ascii="Verdana" w:hAnsi="Verdana"/>
        </w:rPr>
      </w:pPr>
    </w:p>
    <w:p>
      <w:pPr>
        <w:rPr>
          <w:rFonts w:ascii="Verdana" w:hAnsi="Verdana"/>
        </w:rPr>
      </w:pP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b/>
          <w:u w:val="single"/>
        </w:rPr>
        <w:lastRenderedPageBreak/>
        <w:t>Caractéristiques de l’école</w:t>
      </w:r>
      <w:r>
        <w:rPr>
          <w:rFonts w:ascii="Verdana" w:hAnsi="Verdana"/>
        </w:rPr>
        <w:t xml:space="preserve"> : </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 xml:space="preserve">L’école fondamentale annexée de Woluwe-Saint-Lambert se compose de deux implantations : </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Implantation principale comprenant une école fondamentale : 4 classes en maternelle et 9 classes en primaire.</w:t>
      </w:r>
      <w:r>
        <w:rPr>
          <w:rFonts w:ascii="Verdana" w:hAnsi="Verdana"/>
        </w:rPr>
        <w:tab/>
      </w:r>
      <w:r>
        <w:rPr>
          <w:rFonts w:ascii="Verdana" w:hAnsi="Verdana"/>
        </w:rPr>
        <w:br/>
        <w:t>Implantation du Bémel comprenant une école maternelle : 5 classes en maternelle.</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 xml:space="preserve">Ces deux implantations sont séparées de 3.3 km. L’implantation principale est située sur la commune de Woluwe-Saint-Lambert et l’implantation du Bémel sur la commune de Woluwe-Saint-Pierre. </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u w:val="single"/>
        </w:rPr>
        <w:t>Attractivité de l’école.</w:t>
      </w:r>
      <w:r>
        <w:rPr>
          <w:rFonts w:ascii="Verdana" w:hAnsi="Verdana"/>
        </w:rPr>
        <w:tab/>
        <w:t xml:space="preserve"> </w:t>
      </w:r>
      <w:r>
        <w:rPr>
          <w:rFonts w:ascii="Verdana" w:hAnsi="Verdana"/>
        </w:rPr>
        <w:br/>
        <w:t xml:space="preserve">Elle possède comme éléments d’attractivité : le cadre de l’école, l’organisation de cours de natation au sein de l’école, celle-ci bénéficiant d’une </w:t>
      </w:r>
      <w:r>
        <w:rPr>
          <w:rFonts w:ascii="Verdana" w:hAnsi="Verdana"/>
        </w:rPr>
        <w:tab/>
        <w:t>piscine, les infrastructures sportives de l’établissement et les activités organisées.</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u w:val="single"/>
        </w:rPr>
        <w:t>Caractéristiques de la population scolaire.</w:t>
      </w:r>
      <w:r>
        <w:rPr>
          <w:rFonts w:ascii="Verdana" w:hAnsi="Verdana"/>
        </w:rPr>
        <w:tab/>
      </w:r>
      <w:r>
        <w:rPr>
          <w:rFonts w:ascii="Verdana" w:hAnsi="Verdana"/>
        </w:rPr>
        <w:br/>
        <w:t>L’implantation principale accueille une population multiculturelle. Située proche du métro, sa population scolaire vient des alentours mais également des autres communes de Bruxelles.</w:t>
      </w:r>
      <w:r>
        <w:rPr>
          <w:rFonts w:ascii="Verdana" w:hAnsi="Verdana"/>
        </w:rPr>
        <w:tab/>
      </w:r>
      <w:r>
        <w:rPr>
          <w:rFonts w:ascii="Verdana" w:hAnsi="Verdana"/>
        </w:rPr>
        <w:br/>
        <w:t xml:space="preserve">L’implantation du Bémel se situe dans un quartier à indice socio-économique élevé, elle est distante des transports publics et accueille donc principalement les enfants originaires de ce quartier. </w:t>
      </w:r>
    </w:p>
    <w:p>
      <w:pPr>
        <w:pBdr>
          <w:top w:val="single" w:sz="4" w:space="1" w:color="000000"/>
          <w:left w:val="single" w:sz="4" w:space="4" w:color="000000"/>
          <w:bottom w:val="single" w:sz="4" w:space="1" w:color="000000"/>
          <w:right w:val="single" w:sz="4" w:space="4" w:color="000000"/>
        </w:pBdr>
        <w:jc w:val="both"/>
        <w:rPr>
          <w:rFonts w:ascii="Verdana" w:hAnsi="Verdana"/>
          <w:u w:val="single"/>
        </w:rPr>
      </w:pPr>
      <w:r>
        <w:rPr>
          <w:rFonts w:ascii="Verdana" w:hAnsi="Verdana"/>
          <w:u w:val="single"/>
        </w:rPr>
        <w:t>L’équipe d’encadrement.</w:t>
      </w:r>
      <w:r>
        <w:rPr>
          <w:rFonts w:ascii="Verdana" w:hAnsi="Verdana"/>
        </w:rPr>
        <w:tab/>
      </w:r>
      <w:r>
        <w:rPr>
          <w:rFonts w:ascii="Verdana" w:hAnsi="Verdana"/>
          <w:u w:val="single"/>
        </w:rPr>
        <w:t xml:space="preserve"> </w:t>
      </w:r>
      <w:r>
        <w:rPr>
          <w:rFonts w:ascii="Verdana" w:hAnsi="Verdana"/>
          <w:u w:val="single"/>
        </w:rPr>
        <w:br/>
      </w:r>
      <w:r>
        <w:rPr>
          <w:rFonts w:ascii="Verdana" w:hAnsi="Verdana"/>
        </w:rPr>
        <w:t xml:space="preserve">L’école fondamentale est composée d’une équipe éducative reprenant plus ou moins 35 personnes enseignantes et non-enseignantes. </w:t>
      </w:r>
    </w:p>
    <w:p>
      <w:pPr>
        <w:pBdr>
          <w:top w:val="single" w:sz="4" w:space="1" w:color="000000"/>
          <w:left w:val="single" w:sz="4" w:space="4" w:color="000000"/>
          <w:bottom w:val="single" w:sz="4" w:space="1" w:color="000000"/>
          <w:right w:val="single" w:sz="4" w:space="4" w:color="000000"/>
        </w:pBdr>
        <w:jc w:val="both"/>
        <w:rPr>
          <w:rFonts w:ascii="Verdana" w:hAnsi="Verdana"/>
          <w:u w:val="single"/>
        </w:rPr>
      </w:pPr>
      <w:r>
        <w:rPr>
          <w:rFonts w:ascii="Verdana" w:hAnsi="Verdana"/>
          <w:u w:val="single"/>
        </w:rPr>
        <w:t>Caractéristiques pédagogiques.</w:t>
      </w:r>
      <w:r>
        <w:rPr>
          <w:rFonts w:ascii="Verdana" w:hAnsi="Verdana"/>
          <w:u w:val="single"/>
        </w:rPr>
        <w:tab/>
      </w:r>
      <w:r>
        <w:rPr>
          <w:rFonts w:ascii="Verdana" w:hAnsi="Verdana"/>
          <w:u w:val="single"/>
        </w:rPr>
        <w:br/>
      </w:r>
      <w:r>
        <w:rPr>
          <w:rFonts w:ascii="Verdana" w:hAnsi="Verdana"/>
        </w:rPr>
        <w:t>Le plan de pilotage ayant déjà été contractualisé en contrat d’objectifs, il faudra :</w:t>
      </w:r>
      <w:r>
        <w:rPr>
          <w:rFonts w:ascii="Verdana" w:hAnsi="Verdana"/>
        </w:rPr>
        <w:tab/>
        <w:t xml:space="preserve"> </w:t>
      </w:r>
      <w:r>
        <w:rPr>
          <w:rFonts w:ascii="Verdana" w:hAnsi="Verdana"/>
        </w:rPr>
        <w:br/>
      </w:r>
      <w:r>
        <w:rPr>
          <w:rFonts w:ascii="Verdana" w:hAnsi="Verdana"/>
        </w:rPr>
        <w:tab/>
        <w:t>- développer la communication parents-école.</w:t>
      </w:r>
      <w:r>
        <w:rPr>
          <w:rFonts w:ascii="Verdana" w:hAnsi="Verdana"/>
        </w:rPr>
        <w:tab/>
      </w:r>
      <w:r>
        <w:rPr>
          <w:rFonts w:ascii="Verdana" w:hAnsi="Verdana"/>
        </w:rPr>
        <w:br/>
      </w:r>
      <w:r>
        <w:rPr>
          <w:rFonts w:ascii="Verdana" w:hAnsi="Verdana"/>
        </w:rPr>
        <w:tab/>
        <w:t>- Favoriser les ressources existantes.</w:t>
      </w:r>
      <w:r>
        <w:rPr>
          <w:rFonts w:ascii="Verdana" w:hAnsi="Verdana"/>
        </w:rPr>
        <w:tab/>
      </w:r>
      <w:r>
        <w:rPr>
          <w:rFonts w:ascii="Verdana" w:hAnsi="Verdana"/>
        </w:rPr>
        <w:br/>
      </w:r>
      <w:r>
        <w:rPr>
          <w:rFonts w:ascii="Verdana" w:hAnsi="Verdana"/>
        </w:rPr>
        <w:tab/>
        <w:t xml:space="preserve">- Développer l’accès aux pratiques numériques et d’une mise à jour du site </w:t>
      </w:r>
      <w:r>
        <w:rPr>
          <w:rFonts w:ascii="Verdana" w:hAnsi="Verdana"/>
        </w:rPr>
        <w:tab/>
        <w:t>internet de l’école.</w:t>
      </w:r>
      <w:r>
        <w:rPr>
          <w:rFonts w:ascii="Verdana" w:hAnsi="Verdana"/>
        </w:rPr>
        <w:tab/>
      </w:r>
      <w:r>
        <w:rPr>
          <w:rFonts w:ascii="Verdana" w:hAnsi="Verdana"/>
        </w:rPr>
        <w:br/>
      </w:r>
      <w:r>
        <w:rPr>
          <w:rFonts w:ascii="Verdana" w:hAnsi="Verdana"/>
        </w:rPr>
        <w:tab/>
        <w:t>- Développer le partenariat avec les collaborateurs externes.</w:t>
      </w:r>
      <w:r>
        <w:rPr>
          <w:rFonts w:ascii="Verdana" w:hAnsi="Verdana"/>
        </w:rPr>
        <w:tab/>
      </w:r>
      <w:r>
        <w:rPr>
          <w:rFonts w:ascii="Verdana" w:hAnsi="Verdana"/>
        </w:rPr>
        <w:br/>
      </w:r>
      <w:r>
        <w:rPr>
          <w:rFonts w:ascii="Verdana" w:hAnsi="Verdana"/>
        </w:rPr>
        <w:tab/>
        <w:t>- Développer des activités pour favoriser le continuum pédagogique.</w:t>
      </w:r>
      <w:r>
        <w:rPr>
          <w:rFonts w:ascii="Verdana" w:hAnsi="Verdana"/>
        </w:rPr>
        <w:tab/>
      </w:r>
      <w:r>
        <w:rPr>
          <w:rFonts w:ascii="Verdana" w:hAnsi="Verdana"/>
        </w:rPr>
        <w:br/>
      </w:r>
      <w:r>
        <w:rPr>
          <w:rFonts w:ascii="Verdana" w:hAnsi="Verdana"/>
        </w:rPr>
        <w:tab/>
        <w:t>- Mettre en œuvre un dispositif d’accueil pour les primoarrivants ou assimilés.</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 xml:space="preserve">Le projet d’école sera revu en 2021. L’implantation principale est en encadrement différencié classe 4. L’école du Bémel est en classe 15. </w:t>
      </w:r>
    </w:p>
    <w:p>
      <w:pPr>
        <w:pBdr>
          <w:top w:val="single" w:sz="4" w:space="0" w:color="000000"/>
          <w:left w:val="single" w:sz="4" w:space="4" w:color="000000"/>
          <w:bottom w:val="single" w:sz="4" w:space="1" w:color="000000"/>
          <w:right w:val="single" w:sz="4" w:space="4" w:color="000000"/>
        </w:pBdr>
        <w:jc w:val="both"/>
        <w:rPr>
          <w:rFonts w:ascii="Verdana" w:hAnsi="Verdana" w:cs="Arial"/>
          <w:b/>
          <w:color w:val="000000" w:themeColor="text1"/>
          <w:u w:val="single"/>
        </w:rPr>
      </w:pPr>
      <w:r>
        <w:rPr>
          <w:rFonts w:ascii="Verdana" w:hAnsi="Verdana" w:cs="Arial"/>
          <w:b/>
          <w:color w:val="000000" w:themeColor="text1"/>
          <w:u w:val="single"/>
        </w:rPr>
        <w:t xml:space="preserve">Destinataires de l’appel : </w:t>
      </w:r>
      <w:r>
        <w:rPr>
          <w:rFonts w:ascii="Verdana" w:hAnsi="Verdana" w:cs="Arial"/>
          <w:color w:val="000000" w:themeColor="text1"/>
        </w:rPr>
        <w:t>Les membres du personnel exerçant leurs fonctions au sein de WBE.</w:t>
      </w:r>
    </w:p>
    <w:p>
      <w:pPr>
        <w:spacing w:after="0"/>
        <w:rPr>
          <w:rFonts w:ascii="Verdana" w:hAnsi="Verdana"/>
          <w:b/>
          <w:u w:val="single"/>
        </w:rPr>
      </w:pPr>
    </w:p>
    <w:p>
      <w:pPr>
        <w:pBdr>
          <w:top w:val="single" w:sz="4" w:space="1" w:color="auto"/>
          <w:left w:val="single" w:sz="4" w:space="4" w:color="auto"/>
          <w:bottom w:val="single" w:sz="4" w:space="1" w:color="auto"/>
          <w:right w:val="single" w:sz="4" w:space="4" w:color="auto"/>
          <w:between w:val="single" w:sz="4" w:space="1" w:color="auto"/>
          <w:bar w:val="single" w:sz="4" w:color="auto"/>
        </w:pBdr>
        <w:spacing w:after="0"/>
        <w:rPr>
          <w:rFonts w:ascii="Verdana" w:hAnsi="Verdana"/>
        </w:rPr>
      </w:pPr>
      <w:r>
        <w:rPr>
          <w:rFonts w:ascii="Verdana" w:hAnsi="Verdana" w:cs="Arial"/>
          <w:b/>
          <w:bCs/>
          <w:color w:val="000000" w:themeColor="text1"/>
          <w:u w:val="double"/>
        </w:rPr>
        <w:t>Nature de l’emploi :</w:t>
      </w:r>
      <w:r>
        <w:rPr>
          <w:rFonts w:ascii="Verdana" w:hAnsi="Verdana" w:cs="Arial"/>
          <w:bCs/>
          <w:color w:val="000000" w:themeColor="text1"/>
        </w:rPr>
        <w:t xml:space="preserve"> </w:t>
      </w:r>
      <w:r>
        <w:rPr>
          <w:rFonts w:ascii="Verdana" w:hAnsi="Verdana"/>
        </w:rPr>
        <w:t>emploi définitivement vacant.</w:t>
      </w:r>
    </w:p>
    <w:p>
      <w:pPr>
        <w:pBdr>
          <w:top w:val="single" w:sz="4" w:space="0" w:color="000000"/>
          <w:left w:val="single" w:sz="4" w:space="4" w:color="000000"/>
          <w:bottom w:val="single" w:sz="4" w:space="0" w:color="000000"/>
          <w:right w:val="single" w:sz="4" w:space="4" w:color="000000"/>
        </w:pBdr>
        <w:rPr>
          <w:rFonts w:ascii="Verdana" w:hAnsi="Verdana"/>
        </w:rPr>
      </w:pPr>
      <w:r>
        <w:rPr>
          <w:rFonts w:ascii="Verdana" w:hAnsi="Verdana"/>
          <w:b/>
          <w:u w:val="single"/>
        </w:rPr>
        <w:t>Coordonnées de la personne-contact</w:t>
      </w:r>
      <w:r>
        <w:rPr>
          <w:rFonts w:ascii="Verdana" w:hAnsi="Verdana"/>
        </w:rPr>
        <w:t xml:space="preserve"> auprès de laquelle des renseignements complémentaires peuvent être obtenus :</w:t>
      </w:r>
    </w:p>
    <w:p>
      <w:pPr>
        <w:pBdr>
          <w:top w:val="single" w:sz="4" w:space="0" w:color="000000"/>
          <w:left w:val="single" w:sz="4" w:space="4" w:color="000000"/>
          <w:bottom w:val="single" w:sz="4" w:space="0" w:color="000000"/>
          <w:right w:val="single" w:sz="4" w:space="4" w:color="000000"/>
        </w:pBdr>
        <w:rPr>
          <w:rFonts w:ascii="Verdana" w:hAnsi="Verdana"/>
        </w:rPr>
      </w:pPr>
      <w:r>
        <w:rPr>
          <w:rFonts w:ascii="Verdana" w:hAnsi="Verdana"/>
        </w:rPr>
        <w:t>Mme VANDERHEIDEN Renelde. Fonction : Directrice coordonnatrice / Zones de Bruxelles et du Brabant Wallon. Email : renelde.vanderheiden(at)cfwb.be</w:t>
      </w:r>
    </w:p>
    <w:p>
      <w:pPr>
        <w:spacing w:after="0"/>
        <w:rPr>
          <w:rFonts w:ascii="Verdana" w:hAnsi="Verdana"/>
        </w:rPr>
      </w:pPr>
    </w:p>
    <w:p>
      <w:pPr>
        <w:pBdr>
          <w:top w:val="single" w:sz="4" w:space="1" w:color="000000"/>
          <w:left w:val="single" w:sz="4" w:space="4" w:color="000000"/>
          <w:bottom w:val="single" w:sz="4" w:space="1" w:color="000000"/>
          <w:right w:val="single" w:sz="4" w:space="4" w:color="000000"/>
        </w:pBdr>
        <w:rPr>
          <w:rFonts w:ascii="Verdana" w:hAnsi="Verdana"/>
          <w:b/>
          <w:u w:val="single"/>
        </w:rPr>
      </w:pPr>
      <w:r>
        <w:rPr>
          <w:rFonts w:ascii="Verdana" w:hAnsi="Verdana"/>
          <w:b/>
          <w:u w:val="single"/>
        </w:rPr>
        <w:t>Modalités pour postuler :</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Les dossiers de candidature doivent être envoyés, au plus tard le 16 décembre 2020 (inclus)</w:t>
      </w:r>
    </w:p>
    <w:p>
      <w:pPr>
        <w:pBdr>
          <w:top w:val="single" w:sz="4" w:space="1" w:color="000000"/>
          <w:left w:val="single" w:sz="4" w:space="4" w:color="000000"/>
          <w:bottom w:val="single" w:sz="4" w:space="1" w:color="000000"/>
          <w:right w:val="single" w:sz="4" w:space="4" w:color="000000"/>
        </w:pBdr>
      </w:pPr>
      <w:r>
        <w:rPr>
          <w:rFonts w:ascii="Verdana" w:hAnsi="Verdana"/>
        </w:rPr>
        <w:t xml:space="preserve">- De préférence, par envoi électronique avec accusé de réception : </w:t>
      </w:r>
      <w:r>
        <w:rPr>
          <w:rFonts w:ascii="Verdana" w:hAnsi="Verdana"/>
        </w:rPr>
        <w:br/>
        <w:t xml:space="preserve">Destinataire : </w:t>
      </w:r>
      <w:hyperlink r:id="rId11" w:history="1">
        <w:r>
          <w:rPr>
            <w:rStyle w:val="Lienhypertexte"/>
            <w:rFonts w:ascii="Verdana" w:hAnsi="Verdana"/>
          </w:rPr>
          <w:t>selection.promotion(at)w-b-e.be</w:t>
        </w:r>
      </w:hyperlink>
      <w:r>
        <w:rPr>
          <w:rFonts w:ascii="Verdana" w:hAnsi="Verdana"/>
        </w:rPr>
        <w:br/>
        <w:t>Objet : WBE CE 2020 006</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xml:space="preserve">Ou </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xml:space="preserve">- Par recommandé ou déposés contre avis de réception à : </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 xml:space="preserve">Direction des ressources humaines : Service sélection et promotion de l’enseignement. </w:t>
      </w:r>
      <w:r>
        <w:rPr>
          <w:rFonts w:ascii="Verdana" w:hAnsi="Verdana"/>
        </w:rPr>
        <w:br/>
        <w:t>Wallonie Bruxelles Enseignement.</w:t>
      </w:r>
      <w:r>
        <w:rPr>
          <w:rFonts w:ascii="Verdana" w:hAnsi="Verdana"/>
        </w:rPr>
        <w:tab/>
      </w:r>
      <w:r>
        <w:rPr>
          <w:rFonts w:ascii="Verdana" w:hAnsi="Verdana"/>
        </w:rPr>
        <w:br/>
        <w:t xml:space="preserve">Boulevard du Jardin botanique 20-22 à 1000 Bruxelles </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xml:space="preserve">Le dossier de candidature comportera : </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Un curriculum vitae rédigé en français et actualisé indiquant précisément les dates d’exercice des postes (jour, mois, année)</w:t>
      </w:r>
      <w:r>
        <w:rPr>
          <w:rFonts w:ascii="Verdana" w:hAnsi="Verdana"/>
        </w:rPr>
        <w:br/>
        <w:t>- Un formulaire de candidature de la fonction à pourvoir complété (voir annexe 3).</w:t>
      </w:r>
      <w:r>
        <w:rPr>
          <w:rFonts w:ascii="Verdana" w:hAnsi="Verdana"/>
        </w:rPr>
        <w:br/>
        <w:t>- Une copie du (ou des) diplôme(s) requis</w:t>
      </w:r>
      <w:r>
        <w:rPr>
          <w:rFonts w:ascii="Verdana" w:hAnsi="Verdana"/>
        </w:rPr>
        <w:br/>
        <w:t>- Un extrait de casier judiciaire 596.2 vierge daté de 3 mois maximum à partir de la fin de la publication de l’appel à candidature concerné.</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Le cas échéant, une copie des attestations de réussite obtenues dans le cadre de la formation initiale des directeurs</w:t>
      </w:r>
      <w:r>
        <w:rPr>
          <w:rFonts w:ascii="Verdana" w:hAnsi="Verdana"/>
          <w:sz w:val="18"/>
        </w:rPr>
        <w:t xml:space="preserve"> (H/F/X)</w:t>
      </w:r>
      <w:r>
        <w:rPr>
          <w:rFonts w:ascii="Verdana" w:hAnsi="Verdana"/>
        </w:rPr>
        <w:t xml:space="preserve"> sera jointe au dossier de candidature. </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Attention, les dossiers de candidature incomplets ou ne répondant pas aux exigences ne pourront pas être considérés comme recevables pour la suite de la procédure de sélection et de promotion.</w:t>
      </w:r>
    </w:p>
    <w:p>
      <w:pPr>
        <w:pBdr>
          <w:top w:val="single" w:sz="4" w:space="1" w:color="000000"/>
          <w:left w:val="single" w:sz="4" w:space="4" w:color="000000"/>
          <w:bottom w:val="single" w:sz="4" w:space="1" w:color="000000"/>
          <w:right w:val="single" w:sz="4" w:space="4" w:color="000000"/>
        </w:pBdr>
        <w:jc w:val="both"/>
        <w:rPr>
          <w:rFonts w:ascii="Verdana" w:hAnsi="Verdana"/>
          <w:b/>
          <w:u w:val="single"/>
        </w:rPr>
      </w:pPr>
      <w:r>
        <w:rPr>
          <w:rFonts w:ascii="Verdana" w:hAnsi="Verdana"/>
          <w:b/>
          <w:u w:val="single"/>
        </w:rPr>
        <w:t>Annexes :</w:t>
      </w:r>
    </w:p>
    <w:p>
      <w:pPr>
        <w:pBdr>
          <w:top w:val="single" w:sz="4" w:space="1" w:color="000000"/>
          <w:left w:val="single" w:sz="4" w:space="4" w:color="000000"/>
          <w:bottom w:val="single" w:sz="4" w:space="1" w:color="000000"/>
          <w:right w:val="single" w:sz="4" w:space="4" w:color="000000"/>
        </w:pBdr>
        <w:jc w:val="both"/>
      </w:pPr>
      <w:r>
        <w:rPr>
          <w:rFonts w:ascii="Verdana" w:hAnsi="Verdana"/>
        </w:rPr>
        <w:t>- Annexe 1 : Conditions d’accès à la fonction.</w:t>
      </w:r>
      <w:r>
        <w:rPr>
          <w:rFonts w:ascii="Verdana" w:hAnsi="Verdana"/>
        </w:rPr>
        <w:tab/>
      </w:r>
      <w:r>
        <w:rPr>
          <w:rFonts w:ascii="Verdana" w:hAnsi="Verdana"/>
        </w:rPr>
        <w:br/>
        <w:t xml:space="preserve">- Annexe 2 : Profil de fonction établi par le Pouvoir organisateur. </w:t>
      </w:r>
      <w:r>
        <w:rPr>
          <w:rFonts w:ascii="Verdana" w:hAnsi="Verdana"/>
        </w:rPr>
        <w:tab/>
      </w:r>
      <w:r>
        <w:rPr>
          <w:rFonts w:ascii="Verdana" w:hAnsi="Verdana"/>
        </w:rPr>
        <w:br/>
        <w:t xml:space="preserve">- Annexe 3 : Formulaire de candidatures (disponible en version électronique sur notre site internet : </w:t>
      </w:r>
      <w:hyperlink r:id="rId12" w:history="1">
        <w:r>
          <w:rPr>
            <w:rStyle w:val="Lienhypertexte"/>
          </w:rPr>
          <w:t>https://www.w-b-e.be/jobs-carriere/evolution-de-carriere/emplois-vacants/</w:t>
        </w:r>
      </w:hyperlink>
      <w:r>
        <w:rPr>
          <w:rFonts w:ascii="Verdana" w:hAnsi="Verdana"/>
        </w:rPr>
        <w:t xml:space="preserve"> et à joindre dans votre candidature) </w:t>
      </w:r>
    </w:p>
    <w:p>
      <w:pPr>
        <w:rPr>
          <w:rFonts w:ascii="Verdana" w:hAnsi="Verdana"/>
          <w:b/>
        </w:rPr>
      </w:pPr>
    </w:p>
    <w:p>
      <w:pPr>
        <w:rPr>
          <w:rFonts w:ascii="Verdana" w:hAnsi="Verdana"/>
          <w:b/>
        </w:rPr>
      </w:pPr>
      <w:r>
        <w:rPr>
          <w:rFonts w:ascii="Verdana" w:hAnsi="Verdana"/>
          <w:b/>
        </w:rPr>
        <w:t xml:space="preserve">Annexe 1. Conditions d’accès à la fonction </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hAnsi="Verdana"/>
        </w:rPr>
      </w:pPr>
      <w:r>
        <w:rPr>
          <w:rFonts w:ascii="Verdana" w:hAnsi="Verdana"/>
          <w:b/>
          <w:u w:val="double"/>
        </w:rPr>
        <w:t>Les conditions légales d'accès à la fonction</w:t>
      </w:r>
      <w:r>
        <w:rPr>
          <w:rFonts w:ascii="Verdana" w:hAnsi="Verdana"/>
        </w:rPr>
        <w:t xml:space="preserve"> sont :</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hAnsi="Verdana"/>
        </w:rPr>
      </w:pP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r>
        <w:rPr>
          <w:rFonts w:ascii="Verdana" w:hAnsi="Verdana" w:cs="Arial"/>
          <w:color w:val="000000" w:themeColor="text1"/>
        </w:rPr>
        <w:t>1° être porteur d’un titre du niveau supérieur du 1</w:t>
      </w:r>
      <w:r>
        <w:rPr>
          <w:rFonts w:ascii="Verdana" w:hAnsi="Verdana" w:cs="Arial"/>
          <w:color w:val="000000" w:themeColor="text1"/>
          <w:vertAlign w:val="superscript"/>
        </w:rPr>
        <w:t>er</w:t>
      </w:r>
      <w:r>
        <w:rPr>
          <w:rFonts w:ascii="Verdana" w:hAnsi="Verdana" w:cs="Arial"/>
          <w:color w:val="000000" w:themeColor="text1"/>
        </w:rPr>
        <w:t xml:space="preserve"> degré au moins</w:t>
      </w:r>
      <w:r>
        <w:rPr>
          <w:rStyle w:val="Ancredenotedebasdepage"/>
          <w:rFonts w:ascii="Verdana" w:hAnsi="Verdana" w:cs="Arial"/>
          <w:color w:val="000000" w:themeColor="text1"/>
        </w:rPr>
        <w:footnoteReference w:id="1"/>
      </w:r>
      <w:r>
        <w:rPr>
          <w:rFonts w:ascii="Verdana" w:hAnsi="Verdana" w:cs="Arial"/>
          <w:color w:val="000000" w:themeColor="text1"/>
        </w:rPr>
        <w:t>;</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r>
        <w:rPr>
          <w:rFonts w:ascii="Verdana" w:hAnsi="Verdana" w:cs="Arial"/>
          <w:color w:val="000000" w:themeColor="text1"/>
        </w:rPr>
        <w:t xml:space="preserve">2° être porteur d’un titre </w:t>
      </w:r>
      <w:r>
        <w:rPr>
          <w:rFonts w:ascii="Verdana" w:hAnsi="Verdana" w:cs="Arial"/>
        </w:rPr>
        <w:t>pédagogique</w:t>
      </w:r>
      <w:bookmarkStart w:id="1" w:name="_Ref4752735"/>
      <w:bookmarkEnd w:id="1"/>
      <w:r>
        <w:rPr>
          <w:rStyle w:val="Ancredenotedebasdepage"/>
          <w:rFonts w:ascii="Verdana" w:hAnsi="Verdana" w:cs="Arial"/>
        </w:rPr>
        <w:footnoteReference w:id="2"/>
      </w:r>
      <w:r>
        <w:rPr>
          <w:rFonts w:ascii="Verdana" w:hAnsi="Verdana" w:cs="Arial"/>
        </w:rPr>
        <w:t> ;</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rPr>
      </w:pPr>
      <w:r>
        <w:rPr>
          <w:rFonts w:ascii="Verdana" w:hAnsi="Verdana" w:cs="Arial"/>
        </w:rPr>
        <w:t>3° compter une ancienneté de service de trois ans au sein de l’enseignement</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rPr>
      </w:pPr>
      <w:r>
        <w:rPr>
          <w:rFonts w:ascii="Verdana" w:hAnsi="Verdana" w:cs="Arial"/>
        </w:rPr>
        <w:t>organisé ou subventionné par la Communauté française ;</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4° avoir répondu à l’appel à candidature</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eastAsia="Times New Roman" w:hAnsi="Verdana" w:cs="Arial"/>
          <w:color w:val="000000" w:themeColor="text1"/>
          <w:lang w:eastAsia="fr-FR"/>
        </w:rPr>
      </w:pP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eastAsia="Times New Roman" w:hAnsi="Verdana" w:cs="Arial"/>
          <w:color w:val="000000" w:themeColor="text1"/>
          <w:lang w:eastAsia="fr-FR"/>
        </w:rPr>
      </w:pP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hAnsi="Verdana" w:cs="Arial"/>
          <w:b/>
          <w:color w:val="000000" w:themeColor="text1"/>
        </w:rPr>
      </w:pPr>
      <w:r>
        <w:rPr>
          <w:rFonts w:ascii="Verdana" w:hAnsi="Verdana" w:cs="Arial"/>
          <w:b/>
          <w:color w:val="000000" w:themeColor="text1"/>
        </w:rPr>
        <w:t>Les candidats reconnus comme éligibles à une fonction de directeur (H/F/X) par la Commission de valorisation de l’expérience dans l’enseignement</w:t>
      </w:r>
      <w:bookmarkStart w:id="2" w:name="_Ref532810415"/>
      <w:bookmarkEnd w:id="2"/>
      <w:r>
        <w:rPr>
          <w:rStyle w:val="Ancredenotedebasdepage"/>
          <w:rFonts w:ascii="Verdana" w:eastAsia="Times New Roman" w:hAnsi="Verdana" w:cs="Arial"/>
          <w:b/>
          <w:color w:val="000000" w:themeColor="text1"/>
          <w:lang w:eastAsia="fr-FR"/>
        </w:rPr>
        <w:footnoteReference w:id="3"/>
      </w:r>
      <w:r>
        <w:rPr>
          <w:rFonts w:ascii="Verdana" w:hAnsi="Verdana" w:cs="Arial"/>
          <w:b/>
          <w:color w:val="000000" w:themeColor="text1"/>
        </w:rPr>
        <w:t xml:space="preserve"> ne sont pas concernés par les conditions précitées mais par les conditions suivantes : </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rPr>
      </w:pPr>
      <w:r>
        <w:rPr>
          <w:rFonts w:ascii="Verdana" w:hAnsi="Verdana" w:cs="Arial"/>
          <w:color w:val="000000" w:themeColor="text1"/>
        </w:rPr>
        <w:t>1° jouir des droits civils et politiques</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r>
        <w:rPr>
          <w:rFonts w:ascii="Verdana" w:hAnsi="Verdana" w:cs="Arial"/>
          <w:color w:val="000000" w:themeColor="text1"/>
        </w:rPr>
        <w:t xml:space="preserve">2° satisfaire aux dispositions légales et réglementaires relatives au régime </w:t>
      </w:r>
      <w:r>
        <w:rPr>
          <w:rFonts w:ascii="Verdana" w:hAnsi="Verdana" w:cs="Arial"/>
          <w:color w:val="000000" w:themeColor="text1"/>
        </w:rPr>
        <w:tab/>
        <w:t>linguistique ;</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r>
        <w:rPr>
          <w:rFonts w:ascii="Verdana" w:hAnsi="Verdana" w:cs="Arial"/>
          <w:color w:val="000000" w:themeColor="text1"/>
        </w:rPr>
        <w:t>3° être de conduite irréprochable ;</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r>
        <w:rPr>
          <w:rFonts w:ascii="Verdana" w:hAnsi="Verdana" w:cs="Arial"/>
          <w:color w:val="000000" w:themeColor="text1"/>
        </w:rPr>
        <w:t>4° satisfaire aux lois sur la milice ;</w:t>
      </w:r>
    </w:p>
    <w:p>
      <w:pPr>
        <w:pBdr>
          <w:top w:val="single" w:sz="4" w:space="1" w:color="000000"/>
          <w:left w:val="single" w:sz="4" w:space="4" w:color="000000"/>
          <w:bottom w:val="single" w:sz="4" w:space="0" w:color="000000"/>
          <w:right w:val="single" w:sz="4" w:space="4" w:color="000000"/>
        </w:pBdr>
        <w:spacing w:after="0" w:line="240" w:lineRule="auto"/>
        <w:ind w:firstLine="708"/>
        <w:jc w:val="both"/>
      </w:pPr>
      <w:r>
        <w:rPr>
          <w:rFonts w:ascii="Verdana" w:eastAsia="Times New Roman" w:hAnsi="Verdana" w:cs="Arial"/>
          <w:color w:val="000000" w:themeColor="text1"/>
          <w:lang w:eastAsia="fr-FR"/>
        </w:rPr>
        <w:t>5° avoir répondu à l’appel à candidatures.</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eastAsia="Times New Roman" w:hAnsi="Verdana" w:cs="Arial"/>
          <w:color w:val="000000" w:themeColor="text1"/>
          <w:lang w:eastAsia="fr-FR"/>
        </w:rPr>
      </w:pP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hAnsi="Verdana"/>
          <w:b/>
        </w:rPr>
      </w:pPr>
      <w:r>
        <w:rPr>
          <w:rFonts w:ascii="Verdana" w:hAnsi="Verdana"/>
          <w:b/>
        </w:rPr>
        <w:t xml:space="preserve">Sur base des dossiers de candidature, le jury de sélection pourra limiter le nombre de candidatures. </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hAnsi="Verdana"/>
          <w:b/>
        </w:rPr>
      </w:pP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lang w:eastAsia="fr-FR"/>
        </w:rPr>
      </w:pPr>
      <w:r>
        <w:rPr>
          <w:rFonts w:ascii="Verdana" w:eastAsia="Times New Roman" w:hAnsi="Verdana" w:cs="Arial"/>
          <w:b/>
          <w:color w:val="000000" w:themeColor="text1"/>
          <w:lang w:eastAsia="fr-FR"/>
        </w:rPr>
        <w:t>Cette première analyse prendra en compte plus particulièrement les éléments suivants :</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lang w:eastAsia="fr-FR"/>
        </w:rPr>
      </w:pPr>
      <w:r>
        <w:rPr>
          <w:rFonts w:ascii="Verdana" w:eastAsia="Times New Roman" w:hAnsi="Verdana" w:cs="Arial"/>
          <w:b/>
          <w:color w:val="000000" w:themeColor="text1"/>
          <w:lang w:eastAsia="fr-FR"/>
        </w:rPr>
        <w:t xml:space="preserve">    - Dans le formulaire :</w:t>
      </w:r>
    </w:p>
    <w:p>
      <w:pPr>
        <w:pBdr>
          <w:top w:val="single" w:sz="4" w:space="1" w:color="000000"/>
          <w:left w:val="single" w:sz="4" w:space="4" w:color="000000"/>
          <w:bottom w:val="single" w:sz="4" w:space="0" w:color="000000"/>
          <w:right w:val="single" w:sz="4" w:space="4" w:color="000000"/>
        </w:pBdr>
        <w:spacing w:after="0" w:line="240" w:lineRule="auto"/>
        <w:ind w:firstLine="708"/>
        <w:rPr>
          <w:rFonts w:ascii="Verdana" w:eastAsia="Times New Roman" w:hAnsi="Verdana" w:cs="Arial"/>
          <w:color w:val="000000" w:themeColor="text1"/>
          <w:lang w:eastAsia="fr-FR"/>
        </w:rPr>
      </w:pPr>
      <w:r>
        <w:rPr>
          <w:rFonts w:ascii="Verdana" w:eastAsia="Times New Roman" w:hAnsi="Verdana" w:cs="Arial"/>
          <w:b/>
          <w:color w:val="000000" w:themeColor="text1"/>
          <w:lang w:eastAsia="fr-FR"/>
        </w:rPr>
        <w:t>*</w:t>
      </w:r>
      <w:r>
        <w:rPr>
          <w:rFonts w:ascii="Verdana" w:eastAsia="Times New Roman" w:hAnsi="Verdana" w:cs="Arial"/>
          <w:color w:val="000000" w:themeColor="text1"/>
          <w:lang w:eastAsia="fr-FR"/>
        </w:rPr>
        <w:t>Partie 1 « Responsabilité », en tenant compte des connaissances de :</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 xml:space="preserve">           - WBE : son organisation, son projet éducatif et pédagogique ;</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 xml:space="preserve">                    - </w:t>
      </w:r>
      <w:r>
        <w:rPr>
          <w:rFonts w:ascii="Verdana" w:hAnsi="Verdana"/>
        </w:rPr>
        <w:t>l’Athénée royal Woluwe-Saint-Lambert</w:t>
      </w:r>
      <w:r>
        <w:rPr>
          <w:rFonts w:ascii="Verdana" w:eastAsia="Times New Roman" w:hAnsi="Verdana" w:cs="Arial"/>
          <w:color w:val="000000" w:themeColor="text1"/>
          <w:lang w:eastAsia="fr-FR"/>
        </w:rPr>
        <w:t xml:space="preserve"> : les projets pédagogiques déjà mis en place, les caractéristiques de l’établissement, l’ancrage environnemental. </w:t>
      </w:r>
    </w:p>
    <w:p>
      <w:pPr>
        <w:pBdr>
          <w:top w:val="single" w:sz="4" w:space="1" w:color="000000"/>
          <w:left w:val="single" w:sz="4" w:space="4" w:color="000000"/>
          <w:bottom w:val="single" w:sz="4" w:space="0" w:color="000000"/>
          <w:right w:val="single" w:sz="4" w:space="4" w:color="000000"/>
        </w:pBdr>
        <w:spacing w:after="0" w:line="240" w:lineRule="auto"/>
        <w:ind w:firstLine="1134"/>
        <w:jc w:val="both"/>
        <w:rPr>
          <w:rFonts w:ascii="Verdana" w:eastAsia="Times New Roman" w:hAnsi="Verdana" w:cs="Arial"/>
          <w:color w:val="000000" w:themeColor="text1"/>
          <w:lang w:eastAsia="fr-FR"/>
        </w:rPr>
      </w:pPr>
    </w:p>
    <w:p>
      <w:pPr>
        <w:pBdr>
          <w:top w:val="single" w:sz="4" w:space="1" w:color="000000"/>
          <w:left w:val="single" w:sz="4" w:space="4" w:color="000000"/>
          <w:bottom w:val="single" w:sz="4" w:space="0" w:color="000000"/>
          <w:right w:val="single" w:sz="4" w:space="4" w:color="000000"/>
        </w:pBdr>
        <w:spacing w:after="0" w:line="240" w:lineRule="auto"/>
        <w:ind w:firstLine="708"/>
        <w:rPr>
          <w:rFonts w:ascii="Verdana" w:eastAsia="Times New Roman" w:hAnsi="Verdana" w:cs="Arial"/>
          <w:color w:val="000000" w:themeColor="text1"/>
          <w:lang w:eastAsia="fr-FR"/>
        </w:rPr>
      </w:pPr>
      <w:r>
        <w:rPr>
          <w:rFonts w:ascii="Verdana" w:eastAsia="Times New Roman" w:hAnsi="Verdana" w:cs="Arial"/>
          <w:b/>
          <w:color w:val="000000" w:themeColor="text1"/>
          <w:lang w:eastAsia="fr-FR"/>
        </w:rPr>
        <w:t>*</w:t>
      </w:r>
      <w:r>
        <w:rPr>
          <w:rFonts w:ascii="Verdana" w:eastAsia="Times New Roman" w:hAnsi="Verdana" w:cs="Arial"/>
          <w:color w:val="000000" w:themeColor="text1"/>
          <w:lang w:eastAsia="fr-FR"/>
        </w:rPr>
        <w:t>Partie 3 « Motivation ».</w:t>
      </w:r>
    </w:p>
    <w:p>
      <w:pPr>
        <w:pBdr>
          <w:top w:val="single" w:sz="4" w:space="1" w:color="000000"/>
          <w:left w:val="single" w:sz="4" w:space="4" w:color="000000"/>
          <w:bottom w:val="single" w:sz="4" w:space="0" w:color="000000"/>
          <w:right w:val="single" w:sz="4" w:space="4" w:color="000000"/>
        </w:pBdr>
        <w:spacing w:after="0" w:line="240" w:lineRule="auto"/>
        <w:ind w:firstLine="708"/>
        <w:rPr>
          <w:rFonts w:ascii="Verdana" w:eastAsia="Times New Roman" w:hAnsi="Verdana" w:cs="Arial"/>
          <w:color w:val="000000" w:themeColor="text1"/>
          <w:lang w:eastAsia="fr-FR"/>
        </w:rPr>
      </w:pP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 xml:space="preserve">    </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lang w:eastAsia="fr-FR"/>
        </w:rPr>
      </w:pP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lang w:eastAsia="fr-FR"/>
        </w:rPr>
      </w:pPr>
      <w:r>
        <w:rPr>
          <w:rFonts w:ascii="Verdana" w:eastAsia="Times New Roman" w:hAnsi="Verdana" w:cs="Arial"/>
          <w:b/>
          <w:color w:val="000000" w:themeColor="text1"/>
          <w:lang w:eastAsia="fr-FR"/>
        </w:rPr>
        <w:t>Le jury est prévu le 19 janvier 2021, une convocation sera envoyée aux candidats retenus après le 06 janvier 2021.</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lang w:eastAsia="fr-FR"/>
        </w:rPr>
      </w:pPr>
    </w:p>
    <w:p>
      <w:pPr>
        <w:spacing w:after="160" w:line="259" w:lineRule="auto"/>
        <w:rPr>
          <w:rFonts w:ascii="Verdana" w:hAnsi="Verdana"/>
        </w:rPr>
      </w:pPr>
    </w:p>
    <w:p>
      <w:pPr>
        <w:spacing w:after="160" w:line="259" w:lineRule="auto"/>
        <w:rPr>
          <w:rFonts w:ascii="Verdana" w:hAnsi="Verdana"/>
        </w:rPr>
      </w:pPr>
    </w:p>
    <w:p>
      <w:pPr>
        <w:spacing w:after="160" w:line="259" w:lineRule="auto"/>
        <w:rPr>
          <w:rFonts w:ascii="Verdana" w:hAnsi="Verdana"/>
        </w:rPr>
      </w:pPr>
    </w:p>
    <w:p>
      <w:pPr>
        <w:spacing w:after="160" w:line="259" w:lineRule="auto"/>
        <w:rPr>
          <w:rFonts w:ascii="Verdana" w:hAnsi="Verdana"/>
        </w:rPr>
      </w:pPr>
    </w:p>
    <w:p>
      <w:pPr>
        <w:spacing w:after="160" w:line="259" w:lineRule="auto"/>
        <w:rPr>
          <w:rFonts w:ascii="Verdana" w:hAnsi="Verdana"/>
        </w:rPr>
      </w:pPr>
    </w:p>
    <w:p>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b/>
          <w:color w:val="000000" w:themeColor="text1"/>
          <w:lang w:eastAsia="fr-FR"/>
        </w:rPr>
      </w:pPr>
      <w:r>
        <w:rPr>
          <w:rFonts w:ascii="Verdana" w:eastAsia="Times New Roman" w:hAnsi="Verdana" w:cs="Arial"/>
          <w:b/>
          <w:color w:val="000000" w:themeColor="text1"/>
          <w:lang w:eastAsia="fr-FR"/>
        </w:rPr>
        <w:t>Diplôme : Vous devez être en possession du ou des diplôme(s) requis :</w:t>
      </w:r>
    </w:p>
    <w:p>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b/>
          <w:color w:val="000000" w:themeColor="text1"/>
          <w:lang w:eastAsia="fr-FR"/>
        </w:rPr>
      </w:pPr>
    </w:p>
    <w:p>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ab/>
        <w:t>Pour les diplômes obtenus hors Belgique, une attestation d'équivalence du diplôme de la Communauté française est requise (pour l'obtenir: 02/690.89.00  ou https://www.formulairesweb.cfwb.be/equi_ens_oblig/formulaire_equivalence.html) Service de l’équivalence des diplômes /Service de la reconnaissance académique et professionnelle des diplômes étrangers d’enseignement supérieur)</w:t>
      </w:r>
    </w:p>
    <w:p>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color w:val="000000" w:themeColor="text1"/>
          <w:lang w:eastAsia="fr-FR"/>
        </w:rPr>
      </w:pPr>
    </w:p>
    <w:p>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ab/>
        <w:t>Pour les diplômes obtenus dans une autre langue que le français, une attestation de votre connaissance de la langue française délivrée par le Selor suite à un test linguistique (article 7) est requise (pour l’obtenir : inscription  en ligne sur le site du Selor (www.selor.be))</w:t>
      </w:r>
    </w:p>
    <w:p>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color w:val="000000" w:themeColor="text1"/>
          <w:lang w:eastAsia="fr-FR"/>
        </w:rPr>
      </w:pPr>
    </w:p>
    <w:p>
      <w:pPr>
        <w:spacing w:after="160" w:line="259" w:lineRule="auto"/>
        <w:rPr>
          <w:rFonts w:ascii="Verdana" w:hAnsi="Verdana"/>
        </w:rPr>
      </w:pPr>
    </w:p>
    <w:p>
      <w:pPr>
        <w:spacing w:after="160" w:line="259" w:lineRule="auto"/>
        <w:rPr>
          <w:rFonts w:ascii="Verdana" w:hAnsi="Verdana"/>
        </w:rPr>
      </w:pPr>
    </w:p>
    <w:p>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color w:val="000000" w:themeColor="text1"/>
          <w:lang w:eastAsia="fr-FR"/>
        </w:rPr>
      </w:pPr>
    </w:p>
    <w:p>
      <w:pPr>
        <w:pBdr>
          <w:top w:val="single" w:sz="4" w:space="1" w:color="000000"/>
          <w:left w:val="single" w:sz="4" w:space="4" w:color="000000"/>
          <w:bottom w:val="single" w:sz="4" w:space="1" w:color="000000"/>
          <w:right w:val="single" w:sz="4" w:space="4" w:color="000000"/>
        </w:pBdr>
        <w:spacing w:after="0" w:line="240" w:lineRule="auto"/>
        <w:jc w:val="center"/>
      </w:pPr>
      <w:r>
        <w:rPr>
          <w:rFonts w:ascii="Verdana" w:eastAsia="Times New Roman" w:hAnsi="Verdana" w:cs="Arial"/>
          <w:color w:val="000000" w:themeColor="text1"/>
          <w:lang w:eastAsia="fr-FR"/>
        </w:rPr>
        <w:t>Wallonie Bruxelles Enseignement promeut la diversité et l’égalité des chances. Nos chargés de sélection mettent en œuvre des procédures de sélection objectives fondées sur les compétences. La couleur de peau, l’origine, le sexe, les convictions religieuses, le handicap ... ne jouent aucun rôle dans le screening et l’évaluation des candidats.</w:t>
      </w:r>
    </w:p>
    <w:p>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color w:val="000000" w:themeColor="text1"/>
          <w:lang w:eastAsia="fr-FR"/>
        </w:rPr>
      </w:pPr>
    </w:p>
    <w:p>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b/>
          <w:color w:val="000000" w:themeColor="text1"/>
          <w:lang w:eastAsia="fr-FR"/>
        </w:rPr>
      </w:pPr>
      <w:r>
        <w:rPr>
          <w:rFonts w:ascii="Verdana" w:eastAsia="Times New Roman" w:hAnsi="Verdana" w:cs="Arial"/>
          <w:b/>
          <w:color w:val="000000" w:themeColor="text1"/>
          <w:lang w:eastAsia="fr-FR"/>
        </w:rPr>
        <w:t>Vous présentez un handicap, un trouble ou une maladie et souhaitez bénéficier d’aménagements raisonnables dans le cadre de la procédure de sélection ?</w:t>
      </w:r>
    </w:p>
    <w:p>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b/>
          <w:color w:val="000000" w:themeColor="text1"/>
          <w:lang w:eastAsia="fr-FR"/>
        </w:rPr>
      </w:pPr>
    </w:p>
    <w:p>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Faites-en mention dans votre acte de candidature en fournissant les informations qui nous permettront d’adapter les conditions de l’entretien.</w:t>
      </w:r>
    </w:p>
    <w:p>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color w:val="000000" w:themeColor="text1"/>
          <w:lang w:eastAsia="fr-FR"/>
        </w:rPr>
      </w:pPr>
    </w:p>
    <w:p>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 xml:space="preserve">Pour toute question sur les aménagements raisonnables : </w:t>
      </w:r>
    </w:p>
    <w:p>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color w:val="000000" w:themeColor="text1"/>
          <w:lang w:eastAsia="fr-FR"/>
        </w:rPr>
      </w:pPr>
      <w:hyperlink r:id="rId13">
        <w:r>
          <w:rPr>
            <w:rStyle w:val="LienInternet"/>
            <w:rFonts w:ascii="Verdana" w:hAnsi="Verdana"/>
          </w:rPr>
          <w:t>selection.promotion(at)w-b-e.be</w:t>
        </w:r>
      </w:hyperlink>
    </w:p>
    <w:p>
      <w:pPr>
        <w:spacing w:after="160" w:line="259" w:lineRule="auto"/>
        <w:rPr>
          <w:rFonts w:ascii="Verdana" w:hAnsi="Verdana"/>
        </w:rPr>
      </w:pPr>
      <w:r>
        <w:br w:type="page"/>
      </w:r>
    </w:p>
    <w:p>
      <w:pPr>
        <w:spacing w:after="160" w:line="259" w:lineRule="auto"/>
        <w:rPr>
          <w:rFonts w:ascii="Verdana" w:hAnsi="Verdana"/>
        </w:rPr>
      </w:pPr>
    </w:p>
    <w:p>
      <w:pPr>
        <w:tabs>
          <w:tab w:val="left" w:pos="1985"/>
        </w:tabs>
        <w:spacing w:after="0" w:line="240" w:lineRule="auto"/>
        <w:jc w:val="both"/>
        <w:rPr>
          <w:rFonts w:ascii="Calibri" w:eastAsia="Times New Roman" w:hAnsi="Calibri" w:cs="Times New Roman"/>
          <w:sz w:val="20"/>
          <w:szCs w:val="20"/>
          <w:lang w:eastAsia="fr-FR"/>
        </w:rPr>
      </w:pPr>
      <w:r>
        <w:rPr>
          <w:rFonts w:eastAsia="Times New Roman" w:cs="Times New Roman"/>
          <w:noProof/>
          <w:sz w:val="20"/>
          <w:szCs w:val="20"/>
          <w:lang w:eastAsia="fr-BE"/>
        </w:rPr>
        <w:drawing>
          <wp:anchor distT="0" distB="0" distL="0" distR="0" simplePos="0" relativeHeight="11" behindDoc="0" locked="0" layoutInCell="1" allowOverlap="1">
            <wp:simplePos x="0" y="0"/>
            <wp:positionH relativeFrom="margin">
              <wp:align>center</wp:align>
            </wp:positionH>
            <wp:positionV relativeFrom="paragraph">
              <wp:posOffset>-33655</wp:posOffset>
            </wp:positionV>
            <wp:extent cx="4919345" cy="1211580"/>
            <wp:effectExtent l="0" t="0" r="0" b="0"/>
            <wp:wrapNone/>
            <wp:docPr id="1"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30"/>
                    <pic:cNvPicPr>
                      <a:picLocks noChangeAspect="1" noChangeArrowheads="1"/>
                    </pic:cNvPicPr>
                  </pic:nvPicPr>
                  <pic:blipFill>
                    <a:blip r:embed="rId14"/>
                    <a:stretch>
                      <a:fillRect/>
                    </a:stretch>
                  </pic:blipFill>
                  <pic:spPr bwMode="auto">
                    <a:xfrm>
                      <a:off x="0" y="0"/>
                      <a:ext cx="4919345" cy="1211580"/>
                    </a:xfrm>
                    <a:prstGeom prst="rect">
                      <a:avLst/>
                    </a:prstGeom>
                  </pic:spPr>
                </pic:pic>
              </a:graphicData>
            </a:graphic>
          </wp:anchor>
        </w:drawing>
      </w:r>
    </w:p>
    <w:p>
      <w:pPr>
        <w:tabs>
          <w:tab w:val="left" w:pos="1985"/>
        </w:tabs>
        <w:spacing w:after="0" w:line="240" w:lineRule="auto"/>
        <w:jc w:val="both"/>
        <w:rPr>
          <w:rFonts w:ascii="Calibri" w:eastAsia="Times New Roman" w:hAnsi="Calibri" w:cs="Times New Roman"/>
          <w:sz w:val="20"/>
          <w:szCs w:val="20"/>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spacing w:before="3640" w:after="240" w:line="240" w:lineRule="auto"/>
        <w:contextualSpacing/>
        <w:rPr>
          <w:rFonts w:ascii="Calibri Light" w:eastAsia="Calibri" w:hAnsi="Calibri Light" w:cs="Times New Roman"/>
          <w:b/>
          <w:caps/>
          <w:sz w:val="48"/>
          <w:szCs w:val="68"/>
          <w:lang w:eastAsia="nl-BE"/>
        </w:rPr>
      </w:pPr>
      <w:sdt>
        <w:sdtPr>
          <w:alias w:val="Titre de la fonction"/>
          <w:id w:val="-1696617321"/>
          <w:dataBinding w:prefixMappings="xmlns:ns0='http://schemas.microsoft.com/office/2006/coverPageProps' " w:xpath="/ns0:CoverPageProperties[1]/ns0:CompanyAddress[1]" w:storeItemID="{55AF091B-3C7A-41E3-B477-F2FDAA23CFDA}"/>
          <w:text/>
        </w:sdtPr>
        <w:sdtContent>
          <w:r>
            <w:rPr>
              <w:rFonts w:ascii="Calibri Light" w:eastAsia="Calibri" w:hAnsi="Calibri Light" w:cs="Times New Roman"/>
              <w:b/>
              <w:caps/>
              <w:color w:val="0A0F16"/>
              <w:sz w:val="68"/>
              <w:szCs w:val="68"/>
              <w:lang w:eastAsia="nl-BE"/>
            </w:rPr>
            <w:t>Directeur</w:t>
          </w:r>
        </w:sdtContent>
      </w:sdt>
      <w:r>
        <w:rPr>
          <w:rFonts w:ascii="Calibri Light" w:eastAsia="Calibri" w:hAnsi="Calibri Light" w:cs="Times New Roman"/>
          <w:b/>
          <w:caps/>
          <w:sz w:val="68"/>
          <w:szCs w:val="68"/>
          <w:lang w:eastAsia="nl-BE"/>
        </w:rPr>
        <w:t xml:space="preserve"> </w:t>
      </w:r>
      <w:r>
        <w:rPr>
          <w:rFonts w:ascii="Calibri Light" w:eastAsia="Calibri" w:hAnsi="Calibri Light" w:cs="Times New Roman"/>
          <w:b/>
          <w:caps/>
          <w:sz w:val="48"/>
          <w:szCs w:val="68"/>
          <w:lang w:eastAsia="nl-BE"/>
        </w:rPr>
        <w:t>(h/f/x)</w:t>
      </w:r>
    </w:p>
    <w:p>
      <w:pPr>
        <w:spacing w:after="0" w:line="240" w:lineRule="auto"/>
        <w:rPr>
          <w:rFonts w:ascii="Times New Roman" w:eastAsia="Times New Roman" w:hAnsi="Times New Roman" w:cs="Times New Roman"/>
          <w:color w:val="7F7F7F"/>
          <w:sz w:val="24"/>
          <w:szCs w:val="24"/>
          <w:lang w:eastAsia="fr-FR"/>
        </w:rPr>
      </w:pPr>
    </w:p>
    <w:sdt>
      <w:sdtPr>
        <w:alias w:val="Service"/>
        <w:id w:val="1739652470"/>
        <w:dataBinding w:prefixMappings="xmlns:ns0='http://purl.org/dc/elements/1.1/' xmlns:ns1='http://schemas.openxmlformats.org/package/2006/metadata/core-properties' " w:xpath="/ns1:coreProperties[1]/ns0:creator[1]" w:storeItemID="{6C3C8BC8-F283-45AE-878A-BAB7291924A1}"/>
        <w:text/>
      </w:sdtPr>
      <w:sdtContent>
        <w:p>
          <w:pPr>
            <w:spacing w:after="0" w:line="273" w:lineRule="auto"/>
            <w:ind w:left="426"/>
            <w:rPr>
              <w:rFonts w:ascii="Calibri Light" w:eastAsia="Calibri" w:hAnsi="Calibri Light" w:cs="Calibri Light"/>
              <w:b/>
              <w:sz w:val="48"/>
              <w:szCs w:val="44"/>
              <w:u w:val="single" w:color="C9282D"/>
            </w:rPr>
          </w:pPr>
          <w:r>
            <w:rPr>
              <w:rFonts w:ascii="Calibri Light" w:eastAsia="Calibri" w:hAnsi="Calibri Light" w:cs="Calibri Light"/>
              <w:b/>
              <w:color w:val="000000" w:themeColor="text1"/>
              <w:sz w:val="48"/>
              <w:szCs w:val="44"/>
              <w:u w:val="single" w:color="C9282D"/>
            </w:rPr>
            <w:t>Ecole Fondamentale Annexée</w:t>
          </w:r>
        </w:p>
      </w:sdtContent>
    </w:sdt>
    <w:p>
      <w:pPr>
        <w:spacing w:after="0" w:line="240" w:lineRule="auto"/>
        <w:ind w:firstLine="426"/>
        <w:rPr>
          <w:rFonts w:ascii="Calibri Light" w:eastAsia="Times New Roman" w:hAnsi="Calibri Light" w:cs="Calibri Light"/>
          <w:b/>
          <w:sz w:val="36"/>
          <w:szCs w:val="24"/>
          <w:lang w:eastAsia="fr-FR"/>
        </w:rPr>
      </w:pPr>
    </w:p>
    <w:p>
      <w:pPr>
        <w:spacing w:after="0" w:line="240" w:lineRule="auto"/>
        <w:ind w:firstLine="426"/>
        <w:rPr>
          <w:rFonts w:ascii="Calibri Light" w:eastAsia="Times New Roman" w:hAnsi="Calibri Light" w:cs="Calibri Light"/>
          <w:b/>
          <w:sz w:val="36"/>
          <w:szCs w:val="24"/>
          <w:u w:val="single" w:color="F4AA00"/>
          <w:lang w:eastAsia="fr-FR"/>
        </w:rPr>
      </w:pPr>
      <w:r>
        <w:rPr>
          <w:rFonts w:ascii="Calibri Light" w:eastAsia="Times New Roman" w:hAnsi="Calibri Light" w:cs="Calibri Light"/>
          <w:b/>
          <w:sz w:val="36"/>
          <w:szCs w:val="24"/>
          <w:lang w:eastAsia="fr-FR"/>
        </w:rPr>
        <w:tab/>
      </w:r>
      <w:r>
        <w:rPr>
          <w:rFonts w:ascii="Calibri Light" w:eastAsia="Times New Roman" w:hAnsi="Calibri Light" w:cs="Calibri Light"/>
          <w:b/>
          <w:sz w:val="36"/>
          <w:szCs w:val="24"/>
          <w:lang w:eastAsia="fr-FR"/>
        </w:rPr>
        <w:tab/>
      </w:r>
      <w:r>
        <w:rPr>
          <w:rFonts w:ascii="Calibri Light" w:eastAsia="Times New Roman" w:hAnsi="Calibri Light" w:cs="Calibri Light"/>
          <w:b/>
          <w:color w:val="000000" w:themeColor="text1"/>
          <w:sz w:val="36"/>
          <w:szCs w:val="24"/>
          <w:u w:val="single" w:color="F4AA00"/>
          <w:lang w:eastAsia="fr-FR"/>
        </w:rPr>
        <w:t>Etablissement : Athénée royal Woluwe-Saint-Lambert</w:t>
      </w:r>
    </w:p>
    <w:p>
      <w:pPr>
        <w:spacing w:after="0" w:line="240" w:lineRule="auto"/>
        <w:ind w:firstLine="426"/>
        <w:rPr>
          <w:rFonts w:ascii="Calibri Light" w:eastAsia="Times New Roman" w:hAnsi="Calibri Light" w:cs="Calibri Light"/>
          <w:b/>
          <w:sz w:val="36"/>
          <w:szCs w:val="24"/>
          <w:highlight w:val="yellow"/>
          <w:lang w:eastAsia="fr-FR"/>
        </w:rPr>
      </w:pPr>
    </w:p>
    <w:p>
      <w:pPr>
        <w:spacing w:after="0" w:line="240" w:lineRule="auto"/>
        <w:ind w:firstLine="426"/>
        <w:rPr>
          <w:rFonts w:ascii="Calibri Light" w:eastAsia="Times New Roman" w:hAnsi="Calibri Light" w:cs="Calibri Light"/>
          <w:b/>
          <w:color w:val="000000" w:themeColor="text1"/>
          <w:sz w:val="36"/>
          <w:szCs w:val="24"/>
          <w:u w:val="single" w:color="001D77"/>
          <w:lang w:eastAsia="fr-FR"/>
        </w:rPr>
        <w:sectPr>
          <w:headerReference w:type="even" r:id="rId15"/>
          <w:headerReference w:type="default" r:id="rId16"/>
          <w:footerReference w:type="even" r:id="rId17"/>
          <w:footerReference w:type="default" r:id="rId18"/>
          <w:headerReference w:type="first" r:id="rId19"/>
          <w:footerReference w:type="first" r:id="rId20"/>
          <w:pgSz w:w="11906" w:h="16838"/>
          <w:pgMar w:top="1701" w:right="1134" w:bottom="1134" w:left="1134" w:header="567" w:footer="227" w:gutter="0"/>
          <w:cols w:space="720"/>
          <w:formProt w:val="0"/>
          <w:titlePg/>
          <w:docGrid w:linePitch="326" w:charSpace="4096"/>
        </w:sectPr>
      </w:pPr>
      <w:r>
        <w:rPr>
          <w:rFonts w:ascii="Calibri Light" w:eastAsia="Times New Roman" w:hAnsi="Calibri Light" w:cs="Calibri Light"/>
          <w:b/>
          <w:sz w:val="36"/>
          <w:szCs w:val="24"/>
          <w:lang w:eastAsia="fr-FR"/>
        </w:rPr>
        <w:tab/>
      </w:r>
      <w:r>
        <w:rPr>
          <w:rFonts w:ascii="Calibri Light" w:eastAsia="Times New Roman" w:hAnsi="Calibri Light" w:cs="Calibri Light"/>
          <w:b/>
          <w:sz w:val="36"/>
          <w:szCs w:val="24"/>
          <w:lang w:eastAsia="fr-FR"/>
        </w:rPr>
        <w:tab/>
      </w:r>
      <w:r>
        <w:rPr>
          <w:rFonts w:ascii="Calibri Light" w:eastAsia="Times New Roman" w:hAnsi="Calibri Light" w:cs="Calibri Light"/>
          <w:b/>
          <w:sz w:val="36"/>
          <w:szCs w:val="24"/>
          <w:lang w:eastAsia="fr-FR"/>
        </w:rPr>
        <w:tab/>
      </w:r>
      <w:r>
        <w:rPr>
          <w:rFonts w:ascii="Calibri Light" w:eastAsia="Times New Roman" w:hAnsi="Calibri Light" w:cs="Calibri Light"/>
          <w:b/>
          <w:color w:val="000000" w:themeColor="text1"/>
          <w:sz w:val="36"/>
          <w:szCs w:val="24"/>
          <w:u w:val="single" w:color="001D77"/>
          <w:lang w:eastAsia="fr-FR"/>
        </w:rPr>
        <w:t xml:space="preserve">Référence : </w:t>
      </w:r>
      <w:bookmarkStart w:id="3" w:name="_Toc489775823"/>
      <w:bookmarkStart w:id="4" w:name="_Toc495298909"/>
      <w:bookmarkStart w:id="5" w:name="_Toc496000780"/>
      <w:bookmarkStart w:id="6" w:name="_Toc496507100"/>
      <w:bookmarkEnd w:id="3"/>
      <w:bookmarkEnd w:id="4"/>
      <w:bookmarkEnd w:id="5"/>
      <w:bookmarkEnd w:id="6"/>
      <w:r>
        <w:rPr>
          <w:rFonts w:ascii="Calibri Light" w:eastAsia="Times New Roman" w:hAnsi="Calibri Light" w:cs="Calibri Light"/>
          <w:b/>
          <w:color w:val="000000" w:themeColor="text1"/>
          <w:sz w:val="36"/>
          <w:szCs w:val="24"/>
          <w:u w:val="single" w:color="001D77"/>
          <w:lang w:eastAsia="fr-FR"/>
        </w:rPr>
        <w:t>WBE CE 2020 006</w:t>
      </w:r>
    </w:p>
    <w:tbl>
      <w:tblPr>
        <w:tblpPr w:leftFromText="141" w:rightFromText="141" w:vertAnchor="text" w:horzAnchor="margin" w:tblpY="-799"/>
        <w:tblW w:w="8673" w:type="dxa"/>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C9282D"/>
            <w:vAlign w:val="center"/>
          </w:tcPr>
          <w:p>
            <w:pPr>
              <w:tabs>
                <w:tab w:val="left" w:pos="1985"/>
              </w:tabs>
              <w:spacing w:after="0" w:line="240" w:lineRule="auto"/>
              <w:ind w:left="181"/>
              <w:jc w:val="center"/>
              <w:rPr>
                <w:rFonts w:ascii="Calibri" w:eastAsia="Times New Roman" w:hAnsi="Calibri" w:cs="Times New Roman"/>
                <w:b/>
                <w:color w:val="FFFFFF"/>
                <w:sz w:val="20"/>
                <w:szCs w:val="20"/>
                <w:lang w:eastAsia="fr-FR"/>
              </w:rPr>
            </w:pPr>
            <w:r>
              <w:rPr>
                <w:rFonts w:eastAsia="Times New Roman" w:cs="Times New Roman"/>
                <w:b/>
                <w:color w:val="FFFFFF"/>
                <w:sz w:val="20"/>
                <w:szCs w:val="20"/>
                <w:lang w:eastAsia="fr-FR"/>
              </w:rPr>
              <w:t>Identité administrative</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Référentiel des responsabilités</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Profil de compétence</w:t>
            </w:r>
          </w:p>
        </w:tc>
      </w:tr>
    </w:tbl>
    <w:p>
      <w:pPr>
        <w:tabs>
          <w:tab w:val="left" w:pos="1985"/>
        </w:tabs>
        <w:spacing w:after="0" w:line="240" w:lineRule="auto"/>
        <w:jc w:val="center"/>
        <w:rPr>
          <w:rFonts w:ascii="Calibri" w:eastAsia="Times New Roman" w:hAnsi="Calibri" w:cs="Times New Roman"/>
          <w:color w:val="000000"/>
          <w:sz w:val="28"/>
          <w:u w:val="single"/>
          <w:lang w:eastAsia="fr-FR"/>
        </w:rPr>
      </w:pPr>
    </w:p>
    <w:p>
      <w:pPr>
        <w:shd w:val="clear" w:color="auto" w:fill="C9282D"/>
        <w:tabs>
          <w:tab w:val="left" w:pos="1985"/>
        </w:tabs>
        <w:spacing w:after="0" w:line="240" w:lineRule="auto"/>
        <w:jc w:val="center"/>
        <w:rPr>
          <w:rFonts w:ascii="Calibri" w:eastAsia="Times New Roman" w:hAnsi="Calibri" w:cs="Times New Roman"/>
          <w:i/>
          <w:color w:val="000000"/>
          <w:sz w:val="28"/>
          <w:lang w:eastAsia="fr-FR"/>
        </w:rPr>
      </w:pPr>
      <w:r>
        <w:rPr>
          <w:rFonts w:eastAsia="Times New Roman" w:cs="Times New Roman"/>
          <w:i/>
          <w:color w:val="FFFFFF" w:themeColor="background1"/>
          <w:sz w:val="28"/>
          <w:lang w:eastAsia="fr-FR"/>
        </w:rPr>
        <w:t>Mission de la fonction</w:t>
      </w:r>
    </w:p>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br/>
        <w:t xml:space="preserve">Le directeur (H/F/X) a une compétence générale de pilotage et d’organisation de l’établissement. </w:t>
      </w:r>
      <w:r>
        <w:rPr>
          <w:rFonts w:eastAsia="Times New Roman" w:cs="Times New Roman"/>
          <w:color w:val="000000"/>
          <w:lang w:eastAsia="fr-FR"/>
        </w:rPr>
        <w:br/>
        <w:t>Il/Elle assume les responsabilités que son pouvoir organisateur, WBE, lui confie dans le cadre fixé par la lettre de mission.</w:t>
      </w:r>
    </w:p>
    <w:tbl>
      <w:tblPr>
        <w:tblpPr w:leftFromText="141" w:rightFromText="141" w:vertAnchor="text" w:horzAnchor="margin" w:tblpY="552"/>
        <w:tblW w:w="8078" w:type="dxa"/>
        <w:tblCellMar>
          <w:left w:w="70" w:type="dxa"/>
          <w:right w:w="70" w:type="dxa"/>
        </w:tblCellMar>
        <w:tblLook w:val="0000" w:firstRow="0" w:lastRow="0" w:firstColumn="0" w:lastColumn="0" w:noHBand="0" w:noVBand="0"/>
      </w:tblPr>
      <w:tblGrid>
        <w:gridCol w:w="3155"/>
        <w:gridCol w:w="1948"/>
        <w:gridCol w:w="986"/>
        <w:gridCol w:w="294"/>
        <w:gridCol w:w="662"/>
        <w:gridCol w:w="1033"/>
      </w:tblGrid>
      <w:tr>
        <w:trPr>
          <w:gridAfter w:val="5"/>
          <w:wAfter w:w="4923" w:type="dxa"/>
          <w:trHeight w:val="311"/>
        </w:trPr>
        <w:tc>
          <w:tcPr>
            <w:tcW w:w="3155" w:type="dxa"/>
            <w:shd w:val="clear" w:color="auto" w:fill="auto"/>
          </w:tcPr>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b/>
                <w:color w:val="000000"/>
                <w:lang w:eastAsia="fr-FR"/>
              </w:rPr>
              <w:t>Relations fonctionnelles :</w:t>
            </w:r>
          </w:p>
        </w:tc>
      </w:tr>
      <w:tr>
        <w:trPr>
          <w:trHeight w:val="460"/>
        </w:trPr>
        <w:tc>
          <w:tcPr>
            <w:tcW w:w="3155" w:type="dxa"/>
            <w:vMerge w:val="restart"/>
            <w:shd w:val="clear" w:color="auto" w:fill="auto"/>
          </w:tcPr>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b/>
                <w:color w:val="000000"/>
                <w:lang w:eastAsia="fr-FR"/>
              </w:rPr>
              <w:t>Environnement de travail :</w:t>
            </w:r>
          </w:p>
        </w:tc>
        <w:tc>
          <w:tcPr>
            <w:tcW w:w="2934" w:type="dxa"/>
            <w:gridSpan w:val="2"/>
            <w:tcBorders>
              <w:bottom w:val="single" w:sz="4" w:space="0" w:color="000000"/>
              <w:right w:val="single" w:sz="4" w:space="0" w:color="000000"/>
            </w:tcBorders>
            <w:shd w:val="clear" w:color="auto" w:fill="auto"/>
            <w:vAlign w:val="center"/>
          </w:tcPr>
          <w:p>
            <w:pPr>
              <w:tabs>
                <w:tab w:val="left" w:pos="1985"/>
              </w:tabs>
              <w:spacing w:after="0" w:line="240" w:lineRule="auto"/>
              <w:jc w:val="both"/>
              <w:rPr>
                <w:rFonts w:ascii="Calibri" w:eastAsia="Times New Roman" w:hAnsi="Calibri" w:cs="Times New Roman"/>
                <w:color w:val="000000"/>
                <w:lang w:eastAsia="fr-FR"/>
              </w:rPr>
            </w:pPr>
          </w:p>
        </w:tc>
        <w:tc>
          <w:tcPr>
            <w:tcW w:w="956" w:type="dxa"/>
            <w:gridSpan w:val="2"/>
            <w:tcBorders>
              <w:top w:val="single" w:sz="4" w:space="0" w:color="000000"/>
              <w:left w:val="single" w:sz="4" w:space="0" w:color="000000"/>
              <w:bottom w:val="single" w:sz="4" w:space="0" w:color="000000"/>
              <w:right w:val="single" w:sz="4" w:space="0" w:color="000000"/>
            </w:tcBorders>
            <w:shd w:val="clear" w:color="auto" w:fill="C9282D"/>
            <w:vAlign w:val="center"/>
          </w:tcPr>
          <w:p>
            <w:pPr>
              <w:tabs>
                <w:tab w:val="left" w:pos="1985"/>
              </w:tabs>
              <w:spacing w:after="0" w:line="240" w:lineRule="auto"/>
              <w:jc w:val="center"/>
              <w:rPr>
                <w:rFonts w:ascii="Calibri" w:eastAsia="Times New Roman" w:hAnsi="Calibri" w:cs="Times New Roman"/>
                <w:color w:val="FFFFFF" w:themeColor="background1"/>
                <w:sz w:val="20"/>
                <w:szCs w:val="20"/>
                <w:lang w:eastAsia="fr-FR"/>
              </w:rPr>
            </w:pPr>
            <w:r>
              <w:rPr>
                <w:rFonts w:eastAsia="Times New Roman" w:cs="Times New Roman"/>
                <w:color w:val="FFFFFF" w:themeColor="background1"/>
                <w:sz w:val="20"/>
                <w:szCs w:val="20"/>
                <w:lang w:eastAsia="fr-FR"/>
              </w:rPr>
              <w:t>Régulier</w:t>
            </w:r>
          </w:p>
        </w:tc>
        <w:tc>
          <w:tcPr>
            <w:tcW w:w="1033" w:type="dxa"/>
            <w:tcBorders>
              <w:top w:val="single" w:sz="4" w:space="0" w:color="000000"/>
              <w:left w:val="single" w:sz="4" w:space="0" w:color="000000"/>
              <w:bottom w:val="single" w:sz="4" w:space="0" w:color="000000"/>
              <w:right w:val="single" w:sz="4" w:space="0" w:color="000000"/>
            </w:tcBorders>
            <w:shd w:val="clear" w:color="auto" w:fill="C9282D"/>
            <w:vAlign w:val="center"/>
          </w:tcPr>
          <w:p>
            <w:pPr>
              <w:tabs>
                <w:tab w:val="left" w:pos="1985"/>
              </w:tabs>
              <w:spacing w:after="0" w:line="240" w:lineRule="auto"/>
              <w:jc w:val="center"/>
              <w:rPr>
                <w:rFonts w:ascii="Calibri" w:eastAsia="Times New Roman" w:hAnsi="Calibri" w:cs="Times New Roman"/>
                <w:color w:val="FFFFFF" w:themeColor="background1"/>
                <w:sz w:val="20"/>
                <w:szCs w:val="20"/>
                <w:lang w:eastAsia="fr-FR"/>
              </w:rPr>
            </w:pPr>
            <w:r>
              <w:rPr>
                <w:rFonts w:eastAsia="Times New Roman" w:cs="Times New Roman"/>
                <w:color w:val="FFFFFF" w:themeColor="background1"/>
                <w:sz w:val="20"/>
                <w:szCs w:val="20"/>
                <w:lang w:eastAsia="fr-FR"/>
              </w:rPr>
              <w:t>Ponctuel</w:t>
            </w:r>
          </w:p>
        </w:tc>
      </w:tr>
      <w:tr>
        <w:trPr>
          <w:trHeight w:val="460"/>
        </w:trPr>
        <w:tc>
          <w:tcPr>
            <w:tcW w:w="3155" w:type="dxa"/>
            <w:vMerge/>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c>
          <w:tcPr>
            <w:tcW w:w="2934" w:type="dxa"/>
            <w:gridSpan w:val="2"/>
            <w:tcBorders>
              <w:top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Le Pouvoir Organisateur et le Pouvoir Régulateur</w:t>
            </w:r>
          </w:p>
        </w:tc>
        <w:tc>
          <w:tcPr>
            <w:tcW w:w="9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pPr>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1033" w:type="dxa"/>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Box>
                </w:ffData>
              </w:fldChar>
            </w:r>
            <w:r>
              <w:instrText>FORMCHECKBOX</w:instrText>
            </w:r>
            <w:r>
              <w:fldChar w:fldCharType="separate"/>
            </w:r>
            <w:bookmarkStart w:id="7" w:name="__Fieldmark__318_2749759877"/>
            <w:bookmarkEnd w:id="7"/>
            <w:r>
              <w:fldChar w:fldCharType="end"/>
            </w:r>
          </w:p>
        </w:tc>
      </w:tr>
      <w:tr>
        <w:trPr>
          <w:trHeight w:val="460"/>
        </w:trPr>
        <w:tc>
          <w:tcPr>
            <w:tcW w:w="3155" w:type="dxa"/>
            <w:vMerge/>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c>
          <w:tcPr>
            <w:tcW w:w="2934" w:type="dxa"/>
            <w:gridSpan w:val="2"/>
            <w:tcBorders>
              <w:top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 xml:space="preserve">Les </w:t>
            </w:r>
            <w:r>
              <w:rPr>
                <w:rFonts w:eastAsia="Times New Roman" w:cs="Calibri"/>
                <w:bCs/>
                <w:color w:val="000000"/>
                <w:lang w:eastAsia="fr-FR"/>
              </w:rPr>
              <w:t>partenaires et interlocuteurs extérieurs</w:t>
            </w:r>
          </w:p>
        </w:tc>
        <w:tc>
          <w:tcPr>
            <w:tcW w:w="9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Box>
                </w:ffData>
              </w:fldChar>
            </w:r>
            <w:r>
              <w:instrText>FORMCHECKBOX</w:instrText>
            </w:r>
            <w:r>
              <w:fldChar w:fldCharType="separate"/>
            </w:r>
            <w:bookmarkStart w:id="8" w:name="__Fieldmark__324_2749759877"/>
            <w:bookmarkEnd w:id="8"/>
            <w:r>
              <w:fldChar w:fldCharType="end"/>
            </w:r>
          </w:p>
        </w:tc>
        <w:tc>
          <w:tcPr>
            <w:tcW w:w="1033" w:type="dxa"/>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pPr>
            <w:r>
              <w:fldChar w:fldCharType="begin">
                <w:ffData>
                  <w:name w:val=""/>
                  <w:enabled/>
                  <w:calcOnExit w:val="0"/>
                  <w:checkBox>
                    <w:sizeAuto/>
                    <w:default w:val="1"/>
                  </w:checkBox>
                </w:ffData>
              </w:fldChar>
            </w:r>
            <w:r>
              <w:instrText xml:space="preserve"> FORMCHECKBOX </w:instrText>
            </w:r>
            <w:r>
              <w:fldChar w:fldCharType="separate"/>
            </w:r>
            <w:r>
              <w:fldChar w:fldCharType="end"/>
            </w:r>
          </w:p>
        </w:tc>
      </w:tr>
      <w:tr>
        <w:trPr>
          <w:trHeight w:val="460"/>
        </w:trPr>
        <w:tc>
          <w:tcPr>
            <w:tcW w:w="3155" w:type="dxa"/>
            <w:vMerge/>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c>
          <w:tcPr>
            <w:tcW w:w="2934" w:type="dxa"/>
            <w:gridSpan w:val="2"/>
            <w:tcBorders>
              <w:top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Les médias</w:t>
            </w:r>
          </w:p>
        </w:tc>
        <w:tc>
          <w:tcPr>
            <w:tcW w:w="9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Box>
                </w:ffData>
              </w:fldChar>
            </w:r>
            <w:r>
              <w:instrText>FORMCHECKBOX</w:instrText>
            </w:r>
            <w:r>
              <w:fldChar w:fldCharType="separate"/>
            </w:r>
            <w:bookmarkStart w:id="9" w:name="__Fieldmark__334_2749759877"/>
            <w:bookmarkEnd w:id="9"/>
            <w:r>
              <w:fldChar w:fldCharType="end"/>
            </w:r>
          </w:p>
        </w:tc>
        <w:tc>
          <w:tcPr>
            <w:tcW w:w="1033" w:type="dxa"/>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ed/>
                  </w:checkBox>
                </w:ffData>
              </w:fldChar>
            </w:r>
            <w:r>
              <w:instrText>FORMCHECKBOX</w:instrText>
            </w:r>
            <w:r>
              <w:fldChar w:fldCharType="separate"/>
            </w:r>
            <w:bookmarkStart w:id="10" w:name="__Fieldmark__340_2749759877"/>
            <w:bookmarkEnd w:id="10"/>
            <w:r>
              <w:fldChar w:fldCharType="end"/>
            </w:r>
          </w:p>
        </w:tc>
      </w:tr>
      <w:tr>
        <w:trPr>
          <w:trHeight w:val="460"/>
        </w:trPr>
        <w:tc>
          <w:tcPr>
            <w:tcW w:w="3155" w:type="dxa"/>
            <w:vMerge/>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c>
          <w:tcPr>
            <w:tcW w:w="2934" w:type="dxa"/>
            <w:gridSpan w:val="2"/>
            <w:tcBorders>
              <w:top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Les membres du personnel, les élèves, les parents</w:t>
            </w:r>
          </w:p>
        </w:tc>
        <w:tc>
          <w:tcPr>
            <w:tcW w:w="9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ed/>
                  </w:checkBox>
                </w:ffData>
              </w:fldChar>
            </w:r>
            <w:r>
              <w:instrText>FORMCHECKBOX</w:instrText>
            </w:r>
            <w:r>
              <w:fldChar w:fldCharType="separate"/>
            </w:r>
            <w:bookmarkStart w:id="11" w:name="__Fieldmark__344_2749759877"/>
            <w:bookmarkEnd w:id="11"/>
            <w:r>
              <w:fldChar w:fldCharType="end"/>
            </w:r>
          </w:p>
        </w:tc>
        <w:tc>
          <w:tcPr>
            <w:tcW w:w="1033" w:type="dxa"/>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Box>
                </w:ffData>
              </w:fldChar>
            </w:r>
            <w:r>
              <w:instrText>FORMCHECKBOX</w:instrText>
            </w:r>
            <w:r>
              <w:fldChar w:fldCharType="separate"/>
            </w:r>
            <w:bookmarkStart w:id="12" w:name="__Fieldmark__350_2749759877"/>
            <w:bookmarkEnd w:id="12"/>
            <w:r>
              <w:fldChar w:fldCharType="end"/>
            </w:r>
          </w:p>
        </w:tc>
      </w:tr>
      <w:tr>
        <w:trPr>
          <w:gridAfter w:val="5"/>
          <w:wAfter w:w="4923" w:type="dxa"/>
          <w:trHeight w:val="269"/>
        </w:trPr>
        <w:tc>
          <w:tcPr>
            <w:tcW w:w="3155" w:type="dxa"/>
            <w:vMerge/>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r>
      <w:tr>
        <w:trPr>
          <w:gridAfter w:val="5"/>
          <w:wAfter w:w="4923" w:type="dxa"/>
          <w:trHeight w:val="269"/>
        </w:trPr>
        <w:tc>
          <w:tcPr>
            <w:tcW w:w="3155" w:type="dxa"/>
            <w:vMerge/>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r>
      <w:tr>
        <w:trPr>
          <w:gridAfter w:val="2"/>
          <w:wAfter w:w="1695" w:type="dxa"/>
          <w:trHeight w:val="460"/>
        </w:trPr>
        <w:tc>
          <w:tcPr>
            <w:tcW w:w="3155" w:type="dxa"/>
            <w:vMerge/>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c>
          <w:tcPr>
            <w:tcW w:w="1948" w:type="dxa"/>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ed/>
                  </w:checkBox>
                </w:ffData>
              </w:fldChar>
            </w:r>
            <w:r>
              <w:instrText>FORMCHECKBOX</w:instrText>
            </w:r>
            <w:r>
              <w:fldChar w:fldCharType="separate"/>
            </w:r>
            <w:bookmarkStart w:id="13" w:name="__Fieldmark__353_2749759877"/>
            <w:bookmarkEnd w:id="13"/>
            <w:r>
              <w:fldChar w:fldCharType="end"/>
            </w:r>
            <w:r>
              <w:rPr>
                <w:rFonts w:eastAsia="Times New Roman" w:cs="Times New Roman"/>
                <w:color w:val="000000"/>
                <w:lang w:eastAsia="fr-FR"/>
              </w:rPr>
              <w:t xml:space="preserve"> </w:t>
            </w:r>
            <w:r>
              <w:rPr>
                <w:rFonts w:ascii="Segoe UI Symbol" w:eastAsia="Times New Roman" w:hAnsi="Segoe UI Symbol" w:cs="Times New Roman"/>
                <w:color w:val="000000"/>
                <w:lang w:eastAsia="fr-FR"/>
              </w:rPr>
              <w:t>É</w:t>
            </w:r>
            <w:r>
              <w:rPr>
                <w:rFonts w:eastAsia="Times New Roman" w:cs="Times New Roman"/>
                <w:color w:val="000000"/>
                <w:lang w:eastAsia="fr-FR"/>
              </w:rPr>
              <w:t xml:space="preserve">tablissement                   </w:t>
            </w:r>
          </w:p>
        </w:tc>
        <w:tc>
          <w:tcPr>
            <w:tcW w:w="1280" w:type="dxa"/>
            <w:gridSpan w:val="2"/>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Box>
                </w:ffData>
              </w:fldChar>
            </w:r>
            <w:r>
              <w:instrText>FORMCHECKBOX</w:instrText>
            </w:r>
            <w:r>
              <w:fldChar w:fldCharType="separate"/>
            </w:r>
            <w:bookmarkStart w:id="14" w:name="__Fieldmark__357_2749759877"/>
            <w:bookmarkEnd w:id="14"/>
            <w:r>
              <w:fldChar w:fldCharType="end"/>
            </w:r>
            <w:r>
              <w:rPr>
                <w:rFonts w:eastAsia="Times New Roman" w:cs="Times New Roman"/>
                <w:color w:val="000000"/>
                <w:lang w:eastAsia="fr-FR"/>
              </w:rPr>
              <w:t xml:space="preserve"> Itinérant</w:t>
            </w:r>
          </w:p>
        </w:tc>
      </w:tr>
      <w:tr>
        <w:trPr>
          <w:gridAfter w:val="2"/>
          <w:wAfter w:w="1695" w:type="dxa"/>
          <w:trHeight w:val="460"/>
        </w:trPr>
        <w:tc>
          <w:tcPr>
            <w:tcW w:w="3155" w:type="dxa"/>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c>
          <w:tcPr>
            <w:tcW w:w="1948" w:type="dxa"/>
            <w:shd w:val="clear" w:color="auto" w:fill="auto"/>
            <w:vAlign w:val="center"/>
          </w:tcPr>
          <w:p>
            <w:pPr>
              <w:tabs>
                <w:tab w:val="left" w:pos="1985"/>
              </w:tabs>
              <w:spacing w:after="0" w:line="240" w:lineRule="auto"/>
              <w:jc w:val="both"/>
            </w:pPr>
          </w:p>
        </w:tc>
        <w:tc>
          <w:tcPr>
            <w:tcW w:w="1280" w:type="dxa"/>
            <w:gridSpan w:val="2"/>
            <w:shd w:val="clear" w:color="auto" w:fill="auto"/>
            <w:vAlign w:val="center"/>
          </w:tcPr>
          <w:p>
            <w:pPr>
              <w:tabs>
                <w:tab w:val="left" w:pos="1985"/>
              </w:tabs>
              <w:spacing w:after="0" w:line="240" w:lineRule="auto"/>
              <w:jc w:val="both"/>
            </w:pPr>
          </w:p>
        </w:tc>
      </w:tr>
    </w:tbl>
    <w:p>
      <w:pPr>
        <w:spacing w:after="0" w:line="240" w:lineRule="auto"/>
        <w:jc w:val="center"/>
        <w:rPr>
          <w:rFonts w:ascii="Calibri" w:eastAsia="Times New Roman" w:hAnsi="Calibri" w:cs="Times New Roman"/>
          <w:color w:val="000000"/>
          <w:sz w:val="28"/>
          <w:u w:val="single"/>
          <w:lang w:eastAsia="fr-FR"/>
        </w:rPr>
      </w:pPr>
    </w:p>
    <w:p>
      <w:pPr>
        <w:spacing w:after="0" w:line="240" w:lineRule="auto"/>
        <w:jc w:val="center"/>
        <w:rPr>
          <w:rFonts w:ascii="Calibri" w:eastAsia="Times New Roman" w:hAnsi="Calibri" w:cs="Times New Roman"/>
          <w:color w:val="000000"/>
          <w:sz w:val="28"/>
          <w:u w:val="single"/>
          <w:lang w:eastAsia="fr-FR"/>
        </w:rPr>
      </w:pPr>
    </w:p>
    <w:p>
      <w:pPr>
        <w:spacing w:after="0" w:line="240" w:lineRule="auto"/>
        <w:jc w:val="center"/>
        <w:rPr>
          <w:rFonts w:ascii="Calibri" w:eastAsia="Times New Roman" w:hAnsi="Calibri" w:cs="Times New Roman"/>
          <w:color w:val="000000"/>
          <w:sz w:val="28"/>
          <w:u w:val="single"/>
          <w:lang w:eastAsia="fr-FR"/>
        </w:rPr>
      </w:pPr>
    </w:p>
    <w:p>
      <w:pPr>
        <w:shd w:val="clear" w:color="auto" w:fill="C9282D"/>
        <w:tabs>
          <w:tab w:val="left" w:pos="1985"/>
        </w:tabs>
        <w:spacing w:after="0" w:line="240" w:lineRule="auto"/>
        <w:jc w:val="center"/>
        <w:rPr>
          <w:rFonts w:ascii="Calibri" w:eastAsia="Times New Roman" w:hAnsi="Calibri" w:cs="Times New Roman"/>
          <w:i/>
          <w:color w:val="000000"/>
          <w:sz w:val="28"/>
          <w:lang w:eastAsia="fr-FR"/>
        </w:rPr>
      </w:pPr>
      <w:r>
        <w:rPr>
          <w:rFonts w:eastAsia="Times New Roman" w:cs="Times New Roman"/>
          <w:i/>
          <w:color w:val="FFFFFF" w:themeColor="background1"/>
          <w:sz w:val="28"/>
          <w:lang w:eastAsia="fr-FR"/>
        </w:rPr>
        <w:t>Missions de WBE en tant que pouvoir organisateur</w:t>
      </w:r>
    </w:p>
    <w:p>
      <w:pPr>
        <w:tabs>
          <w:tab w:val="left" w:pos="1985"/>
        </w:tabs>
        <w:spacing w:after="0" w:line="240" w:lineRule="auto"/>
        <w:jc w:val="both"/>
        <w:rPr>
          <w:rFonts w:ascii="Calibri" w:eastAsia="Times New Roman" w:hAnsi="Calibri" w:cs="Times New Roman"/>
          <w:b/>
          <w:color w:val="000000"/>
          <w:lang w:eastAsia="fr-FR"/>
        </w:rPr>
      </w:pPr>
    </w:p>
    <w:p>
      <w:pPr>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Wallonie Bruxelles Enseignement (WBE)</w:t>
      </w:r>
      <w:r>
        <w:rPr>
          <w:rFonts w:eastAsia="Times New Roman" w:cs="Times New Roman"/>
          <w:b/>
          <w:bCs/>
          <w:color w:val="000000"/>
          <w:lang w:eastAsia="fr-FR"/>
        </w:rPr>
        <w:t xml:space="preserve"> est le plus important pouvoir organisateur d’enseignement dans l’espace belge francophone. </w:t>
      </w:r>
      <w:r>
        <w:rPr>
          <w:rFonts w:eastAsia="Times New Roman" w:cs="Times New Roman"/>
          <w:bCs/>
          <w:color w:val="000000"/>
          <w:lang w:eastAsia="fr-FR"/>
        </w:rPr>
        <w:t>Nous</w:t>
      </w:r>
      <w:r>
        <w:rPr>
          <w:rFonts w:eastAsia="Times New Roman" w:cs="Times New Roman"/>
          <w:color w:val="000000"/>
          <w:lang w:eastAsia="fr-FR"/>
        </w:rPr>
        <w:t xml:space="preserve"> rassemblons </w:t>
      </w:r>
      <w:r>
        <w:rPr>
          <w:rFonts w:eastAsia="Times New Roman" w:cs="Times New Roman"/>
          <w:b/>
          <w:color w:val="000000"/>
          <w:lang w:eastAsia="fr-FR"/>
        </w:rPr>
        <w:t>365</w:t>
      </w:r>
      <w:r>
        <w:rPr>
          <w:rFonts w:eastAsia="Times New Roman" w:cs="Times New Roman"/>
          <w:color w:val="000000"/>
          <w:lang w:eastAsia="fr-FR"/>
        </w:rPr>
        <w:t xml:space="preserve"> établissements scolaires </w:t>
      </w:r>
      <w:r>
        <w:rPr>
          <w:rFonts w:eastAsia="Times New Roman" w:cs="Times New Roman"/>
          <w:bCs/>
          <w:color w:val="000000"/>
          <w:lang w:eastAsia="fr-FR"/>
        </w:rPr>
        <w:t>et 150 institutions apparentées (internats, centres PMS, etc.), </w:t>
      </w:r>
      <w:r>
        <w:rPr>
          <w:rFonts w:eastAsia="Times New Roman" w:cs="Times New Roman"/>
          <w:color w:val="000000"/>
          <w:lang w:eastAsia="fr-FR"/>
        </w:rPr>
        <w:t>répartis sur l’ensemble du territoire de la Fédération Wallonie-Bruxelles.</w:t>
      </w:r>
    </w:p>
    <w:p>
      <w:pPr>
        <w:spacing w:after="0" w:line="240" w:lineRule="auto"/>
        <w:jc w:val="both"/>
        <w:rPr>
          <w:rFonts w:ascii="Calibri" w:eastAsia="Times New Roman" w:hAnsi="Calibri" w:cs="Times New Roman"/>
          <w:color w:val="000000"/>
          <w:lang w:eastAsia="fr-FR"/>
        </w:rPr>
      </w:pPr>
    </w:p>
    <w:p>
      <w:pPr>
        <w:spacing w:after="0" w:line="240" w:lineRule="auto"/>
        <w:jc w:val="both"/>
        <w:rPr>
          <w:rFonts w:ascii="Calibri" w:eastAsia="Times New Roman" w:hAnsi="Calibri" w:cs="Times New Roman"/>
          <w:color w:val="000000"/>
          <w:lang w:eastAsia="fr-FR"/>
        </w:rPr>
      </w:pPr>
      <w:r>
        <w:rPr>
          <w:rFonts w:eastAsia="Times New Roman" w:cs="Times New Roman"/>
          <w:b/>
          <w:bCs/>
          <w:color w:val="000000"/>
          <w:lang w:eastAsia="fr-FR"/>
        </w:rPr>
        <w:t xml:space="preserve">Ce service public </w:t>
      </w:r>
      <w:r>
        <w:rPr>
          <w:rFonts w:eastAsia="Times New Roman" w:cs="Times New Roman"/>
          <w:bCs/>
          <w:color w:val="000000"/>
          <w:lang w:eastAsia="fr-FR"/>
        </w:rPr>
        <w:t xml:space="preserve">accueille </w:t>
      </w:r>
      <w:r>
        <w:rPr>
          <w:rFonts w:eastAsia="Times New Roman" w:cs="Times New Roman"/>
          <w:color w:val="000000"/>
          <w:lang w:eastAsia="fr-FR"/>
        </w:rPr>
        <w:t>plus de 211 000 élèves ou étudiants de la maternelle à l’enseignement supérieur et emploie plus de 30 000 personnes. WBE, c’est aussi 3.200.000 m de bâtiments scolaires distribués sur 800 sites géographiques.</w:t>
      </w:r>
    </w:p>
    <w:p>
      <w:pPr>
        <w:spacing w:after="0" w:line="240" w:lineRule="auto"/>
        <w:jc w:val="both"/>
        <w:rPr>
          <w:rFonts w:ascii="Calibri" w:eastAsia="Times New Roman" w:hAnsi="Calibri" w:cs="Times New Roman"/>
          <w:color w:val="000000"/>
          <w:lang w:eastAsia="fr-FR"/>
        </w:rPr>
      </w:pPr>
    </w:p>
    <w:p>
      <w:pPr>
        <w:spacing w:after="0" w:line="240" w:lineRule="auto"/>
        <w:jc w:val="both"/>
      </w:pPr>
      <w:r>
        <w:rPr>
          <w:rFonts w:eastAsia="Times New Roman" w:cs="Times New Roman"/>
          <w:color w:val="000000"/>
          <w:lang w:eastAsia="fr-FR"/>
        </w:rPr>
        <w:t>Le décret spécial du 7 février 2019 crée un organisme public autonome chargé de la compétence de pouvoir organisateur de l’Enseignement organisé par la Communauté française.</w:t>
      </w:r>
    </w:p>
    <w:p>
      <w:pPr>
        <w:spacing w:after="0" w:line="240" w:lineRule="auto"/>
        <w:jc w:val="both"/>
        <w:rPr>
          <w:rFonts w:ascii="Calibri" w:eastAsia="Times New Roman" w:hAnsi="Calibri" w:cs="Times New Roman"/>
          <w:color w:val="000000"/>
          <w:lang w:eastAsia="fr-FR"/>
        </w:rPr>
      </w:pPr>
    </w:p>
    <w:p>
      <w:pPr>
        <w:spacing w:after="0" w:line="240" w:lineRule="auto"/>
        <w:jc w:val="both"/>
        <w:rPr>
          <w:rFonts w:eastAsia="Times New Roman" w:cs="Times New Roman"/>
          <w:color w:val="000000"/>
          <w:lang w:eastAsia="fr-FR"/>
        </w:rPr>
      </w:pPr>
      <w:r>
        <w:rPr>
          <w:rFonts w:eastAsia="Times New Roman" w:cs="Times New Roman"/>
          <w:color w:val="000000"/>
          <w:lang w:eastAsia="fr-FR"/>
        </w:rPr>
        <w:t>La mission générale de WBE est de participer à l'organisation, à la bonne marche et au développement de ses établissements, au bénéfice de tous ses membres du personnel et, à travers eux, de tous ses élèves et étudiants.</w:t>
      </w:r>
    </w:p>
    <w:p>
      <w:pPr>
        <w:spacing w:after="0" w:line="240" w:lineRule="auto"/>
        <w:jc w:val="both"/>
        <w:rPr>
          <w:rFonts w:eastAsia="Times New Roman" w:cs="Times New Roman"/>
          <w:color w:val="000000"/>
          <w:lang w:eastAsia="fr-FR"/>
        </w:rPr>
      </w:pPr>
    </w:p>
    <w:p>
      <w:pPr>
        <w:spacing w:after="0" w:line="240" w:lineRule="auto"/>
        <w:jc w:val="both"/>
        <w:rPr>
          <w:rFonts w:eastAsia="Times New Roman" w:cs="Times New Roman"/>
          <w:color w:val="000000"/>
          <w:lang w:eastAsia="fr-FR"/>
        </w:rPr>
      </w:pPr>
    </w:p>
    <w:p>
      <w:pPr>
        <w:spacing w:after="0" w:line="240" w:lineRule="auto"/>
        <w:jc w:val="both"/>
        <w:rPr>
          <w:rFonts w:eastAsia="Times New Roman" w:cs="Times New Roman"/>
          <w:color w:val="000000"/>
          <w:lang w:eastAsia="fr-FR"/>
        </w:rPr>
      </w:pPr>
    </w:p>
    <w:p>
      <w:pPr>
        <w:spacing w:after="0" w:line="240" w:lineRule="auto"/>
        <w:jc w:val="both"/>
        <w:rPr>
          <w:rFonts w:eastAsia="Times New Roman" w:cs="Times New Roman"/>
          <w:color w:val="000000"/>
          <w:lang w:eastAsia="fr-FR"/>
        </w:rPr>
      </w:pPr>
    </w:p>
    <w:p>
      <w:pPr>
        <w:spacing w:after="0" w:line="240" w:lineRule="auto"/>
        <w:jc w:val="both"/>
        <w:rPr>
          <w:rFonts w:eastAsia="Times New Roman" w:cs="Times New Roman"/>
          <w:color w:val="000000"/>
          <w:lang w:eastAsia="fr-FR"/>
        </w:rPr>
      </w:pPr>
    </w:p>
    <w:p>
      <w:pPr>
        <w:spacing w:after="0" w:line="240" w:lineRule="auto"/>
        <w:jc w:val="center"/>
        <w:rPr>
          <w:rFonts w:ascii="Calibri" w:eastAsia="Times New Roman" w:hAnsi="Calibri" w:cs="Times New Roman"/>
          <w:color w:val="000000"/>
          <w:sz w:val="28"/>
          <w:u w:val="single"/>
          <w:lang w:eastAsia="fr-FR"/>
        </w:rPr>
      </w:pPr>
    </w:p>
    <w:p>
      <w:pPr>
        <w:spacing w:after="0" w:line="240" w:lineRule="auto"/>
        <w:jc w:val="center"/>
        <w:rPr>
          <w:rFonts w:ascii="Calibri" w:eastAsia="Times New Roman" w:hAnsi="Calibri" w:cs="Times New Roman"/>
          <w:color w:val="000000"/>
          <w:sz w:val="28"/>
          <w:u w:val="single"/>
          <w:lang w:eastAsia="fr-FR"/>
        </w:rPr>
      </w:pPr>
    </w:p>
    <w:p>
      <w:pPr>
        <w:spacing w:after="0" w:line="240" w:lineRule="auto"/>
        <w:jc w:val="center"/>
        <w:rPr>
          <w:rFonts w:ascii="Calibri" w:eastAsia="Times New Roman" w:hAnsi="Calibri" w:cs="Times New Roman"/>
          <w:color w:val="000000"/>
          <w:sz w:val="28"/>
          <w:u w:val="single"/>
          <w:lang w:eastAsia="fr-FR"/>
        </w:rPr>
      </w:pPr>
    </w:p>
    <w:tbl>
      <w:tblPr>
        <w:tblpPr w:leftFromText="141" w:rightFromText="141" w:vertAnchor="text" w:horzAnchor="margin" w:tblpXSpec="center" w:tblpY="-911"/>
        <w:tblW w:w="8673" w:type="dxa"/>
        <w:jc w:val="center"/>
        <w:tblCellMar>
          <w:left w:w="70" w:type="dxa"/>
          <w:right w:w="70" w:type="dxa"/>
        </w:tblCellMar>
        <w:tblLook w:val="0000" w:firstRow="0" w:lastRow="0" w:firstColumn="0" w:lastColumn="0" w:noHBand="0" w:noVBand="0"/>
      </w:tblPr>
      <w:tblGrid>
        <w:gridCol w:w="2891"/>
        <w:gridCol w:w="2891"/>
        <w:gridCol w:w="2891"/>
      </w:tblGrid>
      <w:tr>
        <w:trPr>
          <w:trHeight w:val="499"/>
          <w:jc w:val="center"/>
        </w:trPr>
        <w:tc>
          <w:tcPr>
            <w:tcW w:w="2891" w:type="dxa"/>
            <w:shd w:val="clear" w:color="auto" w:fill="C9282D"/>
            <w:vAlign w:val="center"/>
          </w:tcPr>
          <w:p>
            <w:pPr>
              <w:tabs>
                <w:tab w:val="left" w:pos="1985"/>
              </w:tabs>
              <w:spacing w:after="0" w:line="240" w:lineRule="auto"/>
              <w:ind w:left="181"/>
              <w:jc w:val="center"/>
              <w:rPr>
                <w:rFonts w:ascii="Calibri" w:eastAsia="Times New Roman" w:hAnsi="Calibri" w:cs="Times New Roman"/>
                <w:b/>
                <w:color w:val="FFFFFF"/>
                <w:sz w:val="20"/>
                <w:szCs w:val="20"/>
                <w:lang w:eastAsia="fr-FR"/>
              </w:rPr>
            </w:pPr>
            <w:r>
              <w:rPr>
                <w:rFonts w:eastAsia="Times New Roman" w:cs="Times New Roman"/>
                <w:b/>
                <w:color w:val="FFFFFF"/>
                <w:sz w:val="20"/>
                <w:szCs w:val="20"/>
                <w:lang w:eastAsia="fr-FR"/>
              </w:rPr>
              <w:t>Identité administrative</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Référentiel des responsabilités</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Profil de compétence</w:t>
            </w:r>
          </w:p>
        </w:tc>
      </w:tr>
    </w:tbl>
    <w:p>
      <w:pPr>
        <w:shd w:val="clear" w:color="auto" w:fill="C9282D"/>
        <w:tabs>
          <w:tab w:val="left" w:pos="1985"/>
        </w:tabs>
        <w:spacing w:after="0" w:line="240" w:lineRule="auto"/>
        <w:jc w:val="center"/>
        <w:rPr>
          <w:rFonts w:ascii="Calibri" w:eastAsia="Times New Roman" w:hAnsi="Calibri" w:cs="Times New Roman"/>
          <w:i/>
          <w:color w:val="FFFFFF" w:themeColor="background1"/>
          <w:sz w:val="28"/>
          <w:lang w:eastAsia="fr-FR"/>
        </w:rPr>
      </w:pPr>
      <w:r>
        <w:rPr>
          <w:rFonts w:eastAsia="Times New Roman" w:cs="Times New Roman"/>
          <w:i/>
          <w:color w:val="FFFFFF" w:themeColor="background1"/>
          <w:sz w:val="28"/>
          <w:lang w:eastAsia="fr-FR"/>
        </w:rPr>
        <w:t>Charte des valeurs de WBE</w:t>
      </w:r>
    </w:p>
    <w:p>
      <w:pPr>
        <w:spacing w:after="0" w:line="240" w:lineRule="auto"/>
        <w:rPr>
          <w:rFonts w:ascii="Times New Roman" w:eastAsia="Times New Roman" w:hAnsi="Times New Roman" w:cs="Times New Roman"/>
          <w:color w:val="000000"/>
          <w:sz w:val="24"/>
          <w:szCs w:val="24"/>
          <w:lang w:val="fr-FR" w:eastAsia="fr-FR"/>
        </w:rPr>
      </w:pPr>
    </w:p>
    <w:p>
      <w:pPr>
        <w:spacing w:after="0" w:line="240" w:lineRule="auto"/>
        <w:jc w:val="both"/>
        <w:rPr>
          <w:rFonts w:ascii="Calibri" w:eastAsia="Times New Roman" w:hAnsi="Calibri" w:cs="Calibri"/>
          <w:color w:val="000000"/>
          <w:szCs w:val="24"/>
          <w:lang w:val="fr-FR" w:eastAsia="fr-FR"/>
        </w:rPr>
      </w:pPr>
      <w:r>
        <w:rPr>
          <w:rFonts w:eastAsia="Times New Roman" w:cs="Calibri"/>
          <w:color w:val="000000"/>
          <w:szCs w:val="24"/>
          <w:lang w:val="fr-FR" w:eastAsia="fr-FR"/>
        </w:rPr>
        <w:t xml:space="preserve">WBE, par l’engagement et la qualité du travail des membres de son personnel, offre à chaque étudiant, à chaque élève et à sa famille, la possibilité de vivre et de partager des valeurs essentielles : </w:t>
      </w:r>
    </w:p>
    <w:p>
      <w:pPr>
        <w:spacing w:after="0" w:line="240" w:lineRule="auto"/>
        <w:jc w:val="both"/>
        <w:rPr>
          <w:rFonts w:ascii="Calibri" w:eastAsia="Times New Roman" w:hAnsi="Calibri" w:cs="Calibri"/>
          <w:color w:val="000000"/>
          <w:szCs w:val="24"/>
          <w:lang w:val="fr-FR" w:eastAsia="fr-FR"/>
        </w:rPr>
      </w:pPr>
    </w:p>
    <w:p>
      <w:pPr>
        <w:spacing w:after="0" w:line="240" w:lineRule="auto"/>
        <w:jc w:val="both"/>
        <w:rPr>
          <w:rFonts w:ascii="Calibri" w:eastAsia="Times New Roman" w:hAnsi="Calibri" w:cs="Calibri"/>
          <w:b/>
          <w:bCs/>
          <w:i/>
          <w:color w:val="000000"/>
          <w:szCs w:val="27"/>
          <w:lang w:val="fr-FR" w:eastAsia="fr-FR"/>
        </w:rPr>
      </w:pPr>
      <w:r>
        <w:rPr>
          <w:rFonts w:eastAsia="Times New Roman" w:cs="Calibri"/>
          <w:b/>
          <w:bCs/>
          <w:i/>
          <w:color w:val="000000"/>
          <w:szCs w:val="27"/>
          <w:lang w:val="fr-FR" w:eastAsia="fr-FR"/>
        </w:rPr>
        <w:t>Démocratie</w:t>
      </w:r>
    </w:p>
    <w:p>
      <w:pPr>
        <w:spacing w:after="0" w:line="240" w:lineRule="auto"/>
        <w:jc w:val="both"/>
        <w:rPr>
          <w:rFonts w:ascii="Calibri" w:eastAsia="Times New Roman" w:hAnsi="Calibri" w:cs="Calibri"/>
          <w:color w:val="000000"/>
          <w:szCs w:val="27"/>
          <w:lang w:val="fr-FR" w:eastAsia="fr-FR"/>
        </w:rPr>
      </w:pPr>
      <w:r>
        <w:rPr>
          <w:rFonts w:eastAsia="Times New Roman" w:cs="Calibri"/>
          <w:color w:val="000000"/>
          <w:szCs w:val="27"/>
          <w:lang w:val="fr-FR" w:eastAsia="fr-FR"/>
        </w:rPr>
        <w:t>WBE forme les élèves et les étudiants au respect des Libertés et des Droits fondamentaux de l’Homme, de la Femme et de l’Enfant. Il suscite l’adhésion des élèves et des étudiants à l’exercice de leur libre arbitre par le développement de connaissances raisonnées et l’exercice de l’esprit critique.</w:t>
      </w:r>
    </w:p>
    <w:p>
      <w:pPr>
        <w:spacing w:after="0" w:line="240" w:lineRule="auto"/>
        <w:jc w:val="both"/>
        <w:rPr>
          <w:rFonts w:ascii="Calibri" w:eastAsia="Times New Roman" w:hAnsi="Calibri" w:cs="Calibri"/>
          <w:color w:val="000000"/>
          <w:szCs w:val="27"/>
          <w:lang w:val="fr-FR" w:eastAsia="fr-FR"/>
        </w:rPr>
      </w:pPr>
    </w:p>
    <w:p>
      <w:pPr>
        <w:spacing w:after="0" w:line="240" w:lineRule="auto"/>
        <w:jc w:val="both"/>
        <w:rPr>
          <w:rFonts w:ascii="Calibri" w:eastAsia="Times New Roman" w:hAnsi="Calibri" w:cs="Calibri"/>
          <w:b/>
          <w:bCs/>
          <w:i/>
          <w:color w:val="000000"/>
          <w:szCs w:val="27"/>
          <w:lang w:val="fr-FR" w:eastAsia="fr-FR"/>
        </w:rPr>
      </w:pPr>
      <w:r>
        <w:rPr>
          <w:rFonts w:eastAsia="Times New Roman" w:cs="Calibri"/>
          <w:b/>
          <w:bCs/>
          <w:i/>
          <w:color w:val="000000"/>
          <w:szCs w:val="27"/>
          <w:lang w:val="fr-FR" w:eastAsia="fr-FR"/>
        </w:rPr>
        <w:t>Ouverture et démarche scientifique</w:t>
      </w:r>
    </w:p>
    <w:p>
      <w:pPr>
        <w:spacing w:after="0" w:line="240" w:lineRule="auto"/>
        <w:jc w:val="both"/>
        <w:rPr>
          <w:rFonts w:ascii="Calibri" w:eastAsia="Times New Roman" w:hAnsi="Calibri" w:cs="Calibri"/>
          <w:color w:val="000000"/>
          <w:szCs w:val="27"/>
          <w:lang w:val="fr-FR" w:eastAsia="fr-FR"/>
        </w:rPr>
      </w:pPr>
      <w:r>
        <w:rPr>
          <w:rFonts w:eastAsia="Times New Roman" w:cs="Calibri"/>
          <w:color w:val="000000"/>
          <w:szCs w:val="27"/>
          <w:lang w:val="fr-FR" w:eastAsia="fr-FR"/>
        </w:rPr>
        <w:t>WBE forme des citoyens libres, responsables, ouverts sur le monde et sa diversité culturelle. L’apprentissage de la citoyenneté s’opère au travers d’une culture du respect, de la compréhension de l’autre et de la solidarité avec autrui.</w:t>
      </w:r>
    </w:p>
    <w:p>
      <w:pPr>
        <w:shd w:val="clear" w:color="auto" w:fill="FFFFFF"/>
        <w:spacing w:after="150" w:line="240" w:lineRule="auto"/>
        <w:jc w:val="both"/>
        <w:rPr>
          <w:rFonts w:ascii="Calibri" w:eastAsia="Times New Roman" w:hAnsi="Calibri" w:cs="Calibri"/>
          <w:color w:val="000000"/>
          <w:szCs w:val="27"/>
          <w:lang w:eastAsia="fr-BE"/>
        </w:rPr>
      </w:pPr>
      <w:r>
        <w:rPr>
          <w:rFonts w:eastAsia="Times New Roman" w:cs="Calibri"/>
          <w:color w:val="000000"/>
          <w:szCs w:val="27"/>
          <w:lang w:eastAsia="fr-BE"/>
        </w:rPr>
        <w:t>Il développe le goût des élèves et des étudiants à rechercher la vérité avec une constante honnêteté intellectuelle, toute de rigueur, d’objectivité, de rationalité et de tolérance.</w:t>
      </w:r>
    </w:p>
    <w:p>
      <w:pPr>
        <w:shd w:val="clear" w:color="auto" w:fill="FFFFFF"/>
        <w:spacing w:after="0" w:line="240" w:lineRule="auto"/>
        <w:jc w:val="both"/>
        <w:rPr>
          <w:rFonts w:ascii="Calibri" w:eastAsia="Times New Roman" w:hAnsi="Calibri" w:cs="Calibri"/>
          <w:b/>
          <w:bCs/>
          <w:i/>
          <w:color w:val="000000"/>
          <w:szCs w:val="27"/>
          <w:lang w:eastAsia="fr-BE"/>
        </w:rPr>
      </w:pPr>
      <w:r>
        <w:rPr>
          <w:rFonts w:eastAsia="Times New Roman" w:cs="Calibri"/>
          <w:b/>
          <w:bCs/>
          <w:i/>
          <w:color w:val="000000"/>
          <w:szCs w:val="27"/>
          <w:lang w:eastAsia="fr-BE"/>
        </w:rPr>
        <w:t>Respect et neutralité</w:t>
      </w:r>
    </w:p>
    <w:p>
      <w:pPr>
        <w:shd w:val="clear" w:color="auto" w:fill="FFFFFF"/>
        <w:spacing w:after="0" w:line="240" w:lineRule="auto"/>
        <w:jc w:val="both"/>
        <w:rPr>
          <w:rFonts w:ascii="Calibri" w:eastAsia="Times New Roman" w:hAnsi="Calibri" w:cs="Calibri"/>
          <w:color w:val="000000"/>
          <w:szCs w:val="27"/>
          <w:lang w:eastAsia="fr-BE"/>
        </w:rPr>
      </w:pPr>
      <w:r>
        <w:rPr>
          <w:rFonts w:eastAsia="Times New Roman" w:cs="Calibri"/>
          <w:color w:val="000000"/>
          <w:szCs w:val="27"/>
          <w:lang w:eastAsia="fr-BE"/>
        </w:rPr>
        <w:t>WBE accueille chaque élève et chaque étudiant sans discrimination, dans le respect du règlement de ses établissements scolaires. Il développe chez ceux-ci la liberté de conscience, de pensée, et la leur  garantit. Il stimule leur attachement à user de la liberté d’expression sans jamais dénigrer ni les personnes, ni les savoirs.</w:t>
      </w:r>
    </w:p>
    <w:p>
      <w:pPr>
        <w:shd w:val="clear" w:color="auto" w:fill="FFFFFF"/>
        <w:spacing w:after="0" w:line="240" w:lineRule="auto"/>
        <w:jc w:val="both"/>
        <w:rPr>
          <w:rFonts w:ascii="Calibri" w:eastAsia="Times New Roman" w:hAnsi="Calibri" w:cs="Calibri"/>
          <w:b/>
          <w:bCs/>
          <w:i/>
          <w:color w:val="000000"/>
          <w:szCs w:val="27"/>
          <w:lang w:eastAsia="fr-BE"/>
        </w:rPr>
      </w:pPr>
    </w:p>
    <w:p>
      <w:pPr>
        <w:shd w:val="clear" w:color="auto" w:fill="FFFFFF"/>
        <w:spacing w:after="0" w:line="240" w:lineRule="auto"/>
        <w:jc w:val="both"/>
        <w:rPr>
          <w:rFonts w:ascii="Calibri" w:eastAsia="Times New Roman" w:hAnsi="Calibri" w:cs="Calibri"/>
          <w:b/>
          <w:bCs/>
          <w:i/>
          <w:color w:val="000000"/>
          <w:szCs w:val="27"/>
          <w:lang w:eastAsia="fr-BE"/>
        </w:rPr>
      </w:pPr>
      <w:r>
        <w:rPr>
          <w:rFonts w:eastAsia="Times New Roman" w:cs="Calibri"/>
          <w:b/>
          <w:bCs/>
          <w:i/>
          <w:color w:val="000000"/>
          <w:szCs w:val="27"/>
          <w:lang w:eastAsia="fr-BE"/>
        </w:rPr>
        <w:t>Emancipation sociale</w:t>
      </w:r>
    </w:p>
    <w:p>
      <w:pPr>
        <w:shd w:val="clear" w:color="auto" w:fill="FFFFFF"/>
        <w:spacing w:after="150" w:line="240" w:lineRule="auto"/>
        <w:jc w:val="both"/>
        <w:rPr>
          <w:rFonts w:ascii="Calibri" w:eastAsia="Times New Roman" w:hAnsi="Calibri" w:cs="Calibri"/>
          <w:color w:val="000000"/>
          <w:szCs w:val="27"/>
          <w:lang w:eastAsia="fr-BE"/>
        </w:rPr>
      </w:pPr>
      <w:r>
        <w:rPr>
          <w:rFonts w:eastAsia="Times New Roman" w:cs="Calibri"/>
          <w:color w:val="000000"/>
          <w:szCs w:val="27"/>
          <w:lang w:eastAsia="fr-BE"/>
        </w:rPr>
        <w:t>WBE travaille au développement libre et graduel de la personnalité de chaque élève et de chaque étudiant. Il vise à les amener à s’approprier les savoirs et à acquérir les compétences pour leur permettre de prendre une place active dans la vie économique, sociale et culturelle. </w:t>
      </w:r>
      <w:r>
        <w:rPr>
          <w:rFonts w:eastAsia="Times New Roman" w:cs="Calibri"/>
          <w:color w:val="000000"/>
          <w:szCs w:val="27"/>
          <w:lang w:eastAsia="fr-BE"/>
        </w:rPr>
        <w:tab/>
      </w:r>
      <w:r>
        <w:rPr>
          <w:rFonts w:eastAsia="Times New Roman" w:cs="Calibri"/>
          <w:color w:val="000000"/>
          <w:szCs w:val="27"/>
          <w:lang w:eastAsia="fr-BE"/>
        </w:rPr>
        <w:br/>
        <w:t>Actif face aux inégalités sociales, WBE soutient les moins favorisés afin qu’aucun choix ne leur soit interdit pour des raisons liées à leur milieu d’origine.</w:t>
      </w:r>
      <w:r>
        <w:rPr>
          <w:rFonts w:eastAsia="Times New Roman" w:cs="Calibri"/>
          <w:color w:val="000000"/>
          <w:szCs w:val="27"/>
          <w:lang w:eastAsia="fr-BE"/>
        </w:rPr>
        <w:tab/>
      </w:r>
      <w:r>
        <w:rPr>
          <w:rFonts w:eastAsia="Times New Roman" w:cs="Calibri"/>
          <w:color w:val="000000"/>
          <w:szCs w:val="27"/>
          <w:lang w:eastAsia="fr-BE"/>
        </w:rPr>
        <w:br/>
        <w:t>Confiants en eux, conscients de leurs potentialités, l’élève et l’étudiant construisent leur émancipation intellectuelle, gage de leur émancipation sociale.</w:t>
      </w: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spacing w:after="0" w:line="240" w:lineRule="auto"/>
        <w:rPr>
          <w:rFonts w:ascii="Calibri" w:eastAsia="Times New Roman" w:hAnsi="Calibri" w:cs="Times New Roman"/>
          <w:color w:val="000000"/>
          <w:lang w:eastAsia="fr-FR"/>
        </w:rPr>
      </w:pPr>
      <w:r>
        <w:br w:type="page"/>
      </w:r>
    </w:p>
    <w:tbl>
      <w:tblPr>
        <w:tblpPr w:leftFromText="141" w:rightFromText="141" w:vertAnchor="text" w:horzAnchor="margin" w:tblpY="-743"/>
        <w:tblW w:w="8673" w:type="dxa"/>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auto"/>
            <w:vAlign w:val="center"/>
          </w:tcPr>
          <w:p>
            <w:pPr>
              <w:pageBreakBefore/>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t>Identité administrative</w:t>
            </w:r>
          </w:p>
        </w:tc>
        <w:tc>
          <w:tcPr>
            <w:tcW w:w="2891" w:type="dxa"/>
            <w:shd w:val="clear" w:color="auto" w:fill="F4AA00"/>
            <w:vAlign w:val="center"/>
          </w:tcPr>
          <w:p>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Référentiel des responsabilités</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Profil de compétence</w:t>
            </w:r>
          </w:p>
        </w:tc>
      </w:tr>
    </w:tbl>
    <w:p>
      <w:pPr>
        <w:tabs>
          <w:tab w:val="left" w:pos="1985"/>
        </w:tabs>
        <w:spacing w:after="0" w:line="240" w:lineRule="auto"/>
        <w:jc w:val="both"/>
        <w:rPr>
          <w:rFonts w:ascii="Calibri" w:eastAsia="Times New Roman" w:hAnsi="Calibri" w:cs="Times New Roman"/>
          <w:lang w:eastAsia="fr-FR"/>
        </w:rPr>
      </w:pPr>
      <w:r>
        <w:rPr>
          <w:rFonts w:eastAsia="Times New Roman" w:cs="Times New Roman"/>
          <w:lang w:eastAsia="fr-FR"/>
        </w:rPr>
        <w:br/>
        <w:t xml:space="preserve">En tant que </w:t>
      </w:r>
      <w:r>
        <w:rPr>
          <w:rFonts w:eastAsia="Times New Roman" w:cs="Times New Roman"/>
          <w:b/>
          <w:lang w:eastAsia="fr-FR"/>
        </w:rPr>
        <w:t>Directeur (H/F/X)</w:t>
      </w:r>
      <w:r>
        <w:rPr>
          <w:rFonts w:eastAsia="Times New Roman" w:cs="Times New Roman"/>
          <w:lang w:eastAsia="fr-FR"/>
        </w:rPr>
        <w:t xml:space="preserve">, vous pouvez être amené(e) à : </w:t>
      </w:r>
      <w:r>
        <w:rPr>
          <w:rFonts w:eastAsia="Times New Roman" w:cs="Times New Roman"/>
          <w:lang w:eastAsia="fr-FR"/>
        </w:rPr>
        <w:tab/>
      </w:r>
      <w:r>
        <w:rPr>
          <w:rFonts w:eastAsia="Times New Roman" w:cs="Times New Roman"/>
          <w:lang w:eastAsia="fr-FR"/>
        </w:rPr>
        <w:br/>
      </w:r>
    </w:p>
    <w:p>
      <w:pPr>
        <w:shd w:val="clear" w:color="auto" w:fill="F4AA00"/>
        <w:tabs>
          <w:tab w:val="left" w:pos="1985"/>
        </w:tabs>
        <w:spacing w:after="0" w:line="240" w:lineRule="auto"/>
        <w:ind w:left="-70"/>
        <w:jc w:val="center"/>
      </w:pPr>
      <w:r>
        <w:rPr>
          <w:rFonts w:eastAsia="Times New Roman" w:cs="Calibri"/>
          <w:bCs/>
          <w:i/>
          <w:sz w:val="28"/>
          <w:shd w:val="clear" w:color="auto" w:fill="F4AA00"/>
          <w:lang w:eastAsia="fr-FR"/>
        </w:rPr>
        <w:t xml:space="preserve"> La production de sens</w:t>
      </w:r>
    </w:p>
    <w:p>
      <w:pPr>
        <w:shd w:val="clear" w:color="auto" w:fill="FFFFFF"/>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pPr>
      <w:r>
        <w:rPr>
          <w:rFonts w:eastAsia="Times New Roman" w:cs="Calibri"/>
          <w:bCs/>
          <w:lang w:eastAsia="fr-FR"/>
        </w:rPr>
        <w:t>Expliciter régulièrement aux acteurs de l’école sur quelles valeurs se fonde l’action pédagogique et éducative, développée au service des élèves, dans le cadre du projet du pouvoir organisateur. Donner ainsi du sens à l’action collective et aux actions individuelles, en référence à ces valeurs ainsi que, selon le cas, aux missions prioritaires et particulières du système éducatif de la Communauté française ou aux finalités de l’enseignement de promotion sociale et de l’enseignement secondaire artistique à horaire réduit</w:t>
      </w:r>
      <w:r>
        <w:rPr>
          <w:rFonts w:eastAsia="Times New Roman" w:cs="Calibri"/>
          <w:b/>
          <w:bCs/>
          <w:lang w:eastAsia="fr-FR"/>
        </w:rPr>
        <w:t>.</w:t>
      </w: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BE"/>
        </w:rPr>
      </w:pPr>
      <w:r>
        <w:rPr>
          <w:rFonts w:eastAsia="Times New Roman" w:cs="Calibri"/>
          <w:lang w:eastAsia="fr-FR"/>
        </w:rPr>
        <w:t>Incarner les valeurs fondant l’action pédagogique et éducative prônée par WBE, les finalités et les objectifs visés dans l’école.</w:t>
      </w: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eastAsia="Times New Roman" w:cs="Calibri"/>
          <w:lang w:eastAsia="fr-FR"/>
        </w:rPr>
      </w:pPr>
      <w:r>
        <w:rPr>
          <w:rFonts w:eastAsia="Times New Roman" w:cs="Calibri"/>
          <w:lang w:eastAsia="fr-FR"/>
        </w:rPr>
        <w:t xml:space="preserve">Confronter régulièrement les processus et les résultats de l’action aux valeurs, aux finalités et aux objectifs annoncés. </w:t>
      </w:r>
    </w:p>
    <w:p>
      <w:pPr>
        <w:tabs>
          <w:tab w:val="left" w:pos="1985"/>
        </w:tabs>
        <w:spacing w:after="0" w:line="240" w:lineRule="auto"/>
        <w:ind w:left="-70"/>
        <w:jc w:val="both"/>
        <w:rPr>
          <w:rFonts w:eastAsia="Times New Roman" w:cs="Calibri"/>
          <w:lang w:eastAsia="fr-FR"/>
        </w:rPr>
      </w:pPr>
    </w:p>
    <w:p>
      <w:pPr>
        <w:tabs>
          <w:tab w:val="left" w:pos="1985"/>
        </w:tabs>
        <w:spacing w:after="0" w:line="240" w:lineRule="auto"/>
        <w:ind w:left="-70"/>
        <w:jc w:val="both"/>
        <w:rPr>
          <w:rFonts w:eastAsia="Times New Roman" w:cs="Calibri"/>
          <w:u w:val="single"/>
          <w:lang w:eastAsia="fr-FR"/>
        </w:rPr>
      </w:pPr>
      <w:r>
        <w:rPr>
          <w:rFonts w:eastAsia="Times New Roman" w:cs="Calibri"/>
          <w:u w:val="single"/>
          <w:lang w:eastAsia="fr-FR"/>
        </w:rPr>
        <w:t xml:space="preserve">Responsabilités spécifiques pour l’Athénée royal de Woluwe-Saint-Lambert : </w:t>
      </w:r>
    </w:p>
    <w:p>
      <w:pPr>
        <w:tabs>
          <w:tab w:val="left" w:pos="1985"/>
        </w:tabs>
        <w:spacing w:after="0" w:line="240" w:lineRule="auto"/>
        <w:ind w:left="-70"/>
        <w:jc w:val="both"/>
        <w:rPr>
          <w:rFonts w:ascii="Calibri" w:eastAsia="Times New Roman" w:hAnsi="Calibri" w:cs="Calibri"/>
          <w:lang w:eastAsia="fr-FR"/>
        </w:rPr>
      </w:pPr>
      <w:r>
        <w:rPr>
          <w:rFonts w:ascii="Calibri" w:eastAsia="Times New Roman" w:hAnsi="Calibri" w:cs="Calibri"/>
          <w:lang w:eastAsia="fr-FR"/>
        </w:rPr>
        <w:t>Créer une identité commune aux deux sites en travaillant sur le sentiment d’appartenance.</w:t>
      </w:r>
    </w:p>
    <w:p>
      <w:pPr>
        <w:tabs>
          <w:tab w:val="left" w:pos="1985"/>
        </w:tabs>
        <w:spacing w:after="0" w:line="240" w:lineRule="auto"/>
        <w:ind w:left="-70"/>
        <w:jc w:val="both"/>
        <w:rPr>
          <w:rFonts w:ascii="Calibri" w:eastAsia="Times New Roman" w:hAnsi="Calibri" w:cs="Calibri"/>
          <w:lang w:eastAsia="fr-FR"/>
        </w:rPr>
      </w:pPr>
    </w:p>
    <w:p>
      <w:pPr>
        <w:shd w:val="clear" w:color="auto" w:fill="F4AA00"/>
        <w:tabs>
          <w:tab w:val="left" w:pos="1985"/>
        </w:tabs>
        <w:spacing w:after="0" w:line="240" w:lineRule="auto"/>
        <w:ind w:left="-70"/>
        <w:jc w:val="center"/>
      </w:pPr>
      <w:r>
        <w:rPr>
          <w:rFonts w:eastAsia="Times New Roman" w:cs="Calibri"/>
          <w:bCs/>
          <w:i/>
          <w:sz w:val="28"/>
          <w:shd w:val="clear" w:color="auto" w:fill="F4AA00"/>
          <w:lang w:eastAsia="fr-FR"/>
        </w:rPr>
        <w:t xml:space="preserve"> Le pilotage stratégique et opérationnel global de l’école</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Dans l’enseignement maternel et dans l’enseignement obligatoire, être le garant des projets éducatif et pédagogique du pouvoir organisateur, définis dans le respect des finalités et des missions prioritaires et particulières du système éducatif de la Communauté française. </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Dans l’enseignement maternel et dans l’enseignement obligatoire, en tant que leader pédagogique et éducatif, piloter la co-construction du projet d’établissement et du plan de pilotage de l’école, en menant à bien le processus de contractualisation y afférent ainsi que la mise en œuvre collective du contrat d’objectifs (ou le cas échéant, le protocole de collaboration).</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pPr>
      <w:r>
        <w:rPr>
          <w:rFonts w:eastAsia="Times New Roman" w:cs="Calibri"/>
          <w:bCs/>
          <w:lang w:eastAsia="fr-FR"/>
        </w:rPr>
        <w:t>Jouer un rôle d’interface entre le Pouvoir organisateur et l’ensemble des acteurs de l’école.</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Participer, avec les acteurs de l’école, à la co-construction de la culture d’école et/ou la développer en cohérence avec les valeurs du système éducatif et celles du Pouvoir organisateur.</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Endosser le rôle de leader pédagogique et éducatif dans tout processus décisionnel.</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Favoriser une réflexion stratégique et prospective sur le devenir de l’école.</w:t>
      </w:r>
    </w:p>
    <w:p>
      <w:pPr>
        <w:tabs>
          <w:tab w:val="left" w:pos="1985"/>
        </w:tabs>
        <w:spacing w:after="0" w:line="240" w:lineRule="auto"/>
        <w:ind w:left="-70"/>
        <w:jc w:val="both"/>
        <w:rPr>
          <w:rFonts w:eastAsia="Times New Roman" w:cs="Calibri"/>
          <w:bCs/>
          <w:lang w:eastAsia="fr-FR"/>
        </w:rPr>
      </w:pPr>
      <w:r>
        <w:rPr>
          <w:rFonts w:eastAsia="Times New Roman" w:cs="Calibri"/>
          <w:bCs/>
          <w:lang w:eastAsia="fr-FR"/>
        </w:rPr>
        <w:t>Faire de l’école une organisation apprenante et y encourager l’innovation, notamment didactique et pédagogique.</w:t>
      </w:r>
    </w:p>
    <w:p>
      <w:pPr>
        <w:tabs>
          <w:tab w:val="left" w:pos="1985"/>
        </w:tabs>
        <w:spacing w:after="0" w:line="240" w:lineRule="auto"/>
        <w:ind w:left="-70"/>
        <w:jc w:val="both"/>
        <w:rPr>
          <w:rFonts w:eastAsia="Times New Roman"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Veiller, le cas échéant, à la bonne organisation des organes locaux de concertation sociale légaux et conventionnels</w:t>
      </w:r>
    </w:p>
    <w:p>
      <w:pPr>
        <w:tabs>
          <w:tab w:val="left" w:pos="1985"/>
        </w:tabs>
        <w:spacing w:after="0" w:line="240" w:lineRule="auto"/>
        <w:ind w:left="-70"/>
        <w:jc w:val="both"/>
        <w:rPr>
          <w:rFonts w:eastAsia="Times New Roman" w:cs="Calibri"/>
          <w:bCs/>
          <w:lang w:eastAsia="fr-FR"/>
        </w:rPr>
      </w:pPr>
    </w:p>
    <w:p>
      <w:pPr>
        <w:tabs>
          <w:tab w:val="left" w:pos="1985"/>
        </w:tabs>
        <w:spacing w:after="0" w:line="240" w:lineRule="auto"/>
        <w:ind w:left="-70"/>
        <w:jc w:val="both"/>
        <w:rPr>
          <w:rFonts w:eastAsia="Times New Roman" w:cs="Calibri"/>
          <w:u w:val="single"/>
          <w:lang w:eastAsia="fr-FR"/>
        </w:rPr>
      </w:pPr>
      <w:r>
        <w:rPr>
          <w:rFonts w:eastAsia="Times New Roman" w:cs="Calibri"/>
          <w:u w:val="single"/>
          <w:lang w:eastAsia="fr-FR"/>
        </w:rPr>
        <w:t xml:space="preserve">Responsabilités spécifiques pour l’Athénée royal de Woluwe-Saint-Lambert : </w:t>
      </w:r>
    </w:p>
    <w:p>
      <w:pPr>
        <w:tabs>
          <w:tab w:val="left" w:pos="1985"/>
        </w:tabs>
        <w:spacing w:after="0" w:line="240" w:lineRule="auto"/>
        <w:ind w:left="-70"/>
        <w:jc w:val="both"/>
        <w:rPr>
          <w:rFonts w:eastAsia="Times New Roman" w:cs="Calibri"/>
          <w:lang w:eastAsia="fr-FR"/>
        </w:rPr>
      </w:pPr>
      <w:r>
        <w:rPr>
          <w:rFonts w:eastAsia="Times New Roman" w:cs="Calibri"/>
          <w:lang w:eastAsia="fr-FR"/>
        </w:rPr>
        <w:t xml:space="preserve">Entretenir avec son chef d’établissement une relation de confiance. Les grandes décisions se prenant en concertation avec le chef d’établissement. </w:t>
      </w:r>
    </w:p>
    <w:p>
      <w:pPr>
        <w:tabs>
          <w:tab w:val="left" w:pos="1985"/>
        </w:tabs>
        <w:spacing w:after="0" w:line="240" w:lineRule="auto"/>
        <w:ind w:left="-70"/>
        <w:jc w:val="both"/>
        <w:rPr>
          <w:rFonts w:eastAsia="Times New Roman" w:cs="Calibri"/>
          <w:lang w:eastAsia="fr-FR"/>
        </w:rPr>
      </w:pPr>
      <w:r>
        <w:rPr>
          <w:rFonts w:eastAsia="Times New Roman" w:cs="Calibri"/>
          <w:lang w:eastAsia="fr-FR"/>
        </w:rPr>
        <w:t>Assurer la gestion de l’organisation du fondamental et être présent sur les deux implantations.</w:t>
      </w:r>
    </w:p>
    <w:p>
      <w:pPr>
        <w:tabs>
          <w:tab w:val="left" w:pos="1985"/>
        </w:tabs>
        <w:spacing w:after="0" w:line="240" w:lineRule="auto"/>
        <w:ind w:left="-70"/>
        <w:jc w:val="both"/>
        <w:rPr>
          <w:rFonts w:eastAsia="Times New Roman" w:cs="Calibri"/>
          <w:lang w:eastAsia="fr-FR"/>
        </w:rPr>
      </w:pPr>
      <w:r>
        <w:rPr>
          <w:rFonts w:eastAsia="Times New Roman" w:cs="Calibri"/>
          <w:lang w:eastAsia="fr-FR"/>
        </w:rPr>
        <w:t>Collaborer et entretenir des synergies avec les entités et services externes telles que CPMS, SAJ, SPJ, la Médiation et l’amicale.</w:t>
      </w:r>
    </w:p>
    <w:p>
      <w:pPr>
        <w:tabs>
          <w:tab w:val="left" w:pos="1985"/>
        </w:tabs>
        <w:spacing w:after="0" w:line="240" w:lineRule="auto"/>
        <w:ind w:left="-70"/>
        <w:jc w:val="both"/>
        <w:rPr>
          <w:rFonts w:eastAsia="Times New Roman" w:cs="Calibri"/>
          <w:lang w:eastAsia="fr-FR"/>
        </w:rPr>
      </w:pPr>
      <w:r>
        <w:rPr>
          <w:rFonts w:eastAsia="Times New Roman" w:cs="Calibri"/>
          <w:lang w:eastAsia="fr-FR"/>
        </w:rPr>
        <w:t xml:space="preserve">Mettre en place des stratégies pour rendre attractive la section fondamentale de l’Athénée royal WSL par rapport aux écoles avoisinantes. </w:t>
      </w:r>
    </w:p>
    <w:tbl>
      <w:tblPr>
        <w:tblpPr w:leftFromText="141" w:rightFromText="141" w:vertAnchor="text" w:horzAnchor="margin" w:tblpY="-854"/>
        <w:tblW w:w="8673" w:type="dxa"/>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auto"/>
            <w:vAlign w:val="center"/>
          </w:tcPr>
          <w:p>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t>Identité administrative</w:t>
            </w:r>
          </w:p>
        </w:tc>
        <w:tc>
          <w:tcPr>
            <w:tcW w:w="2891" w:type="dxa"/>
            <w:shd w:val="clear" w:color="auto" w:fill="F4AA00"/>
            <w:vAlign w:val="center"/>
          </w:tcPr>
          <w:p>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Référentiel des responsabilités</w:t>
            </w:r>
          </w:p>
        </w:tc>
        <w:tc>
          <w:tcPr>
            <w:tcW w:w="2891" w:type="dxa"/>
            <w:shd w:val="clear" w:color="auto" w:fill="auto"/>
            <w:vAlign w:val="center"/>
          </w:tcPr>
          <w:p>
            <w:pPr>
              <w:tabs>
                <w:tab w:val="left" w:pos="1985"/>
              </w:tabs>
              <w:spacing w:after="0" w:line="240" w:lineRule="auto"/>
              <w:jc w:val="center"/>
            </w:pPr>
            <w:r>
              <w:rPr>
                <w:rFonts w:eastAsia="Times New Roman" w:cs="Times New Roman"/>
                <w:sz w:val="20"/>
                <w:szCs w:val="20"/>
                <w:lang w:eastAsia="fr-FR"/>
              </w:rPr>
              <w:t>Profil de compétence</w:t>
            </w:r>
          </w:p>
        </w:tc>
      </w:tr>
    </w:tbl>
    <w:p>
      <w:pPr>
        <w:shd w:val="clear" w:color="auto" w:fill="F4AA00"/>
        <w:tabs>
          <w:tab w:val="left" w:pos="1985"/>
        </w:tabs>
        <w:spacing w:after="0" w:line="240" w:lineRule="auto"/>
        <w:ind w:left="-70"/>
        <w:jc w:val="center"/>
        <w:rPr>
          <w:rFonts w:ascii="Calibri" w:eastAsia="Times New Roman" w:hAnsi="Calibri" w:cs="Calibri"/>
          <w:bCs/>
          <w:i/>
          <w:sz w:val="28"/>
          <w:highlight w:val="yellow"/>
          <w:lang w:eastAsia="fr-FR"/>
        </w:rPr>
      </w:pPr>
      <w:r>
        <w:rPr>
          <w:rFonts w:eastAsia="Times New Roman" w:cs="Calibri"/>
          <w:bCs/>
          <w:i/>
          <w:sz w:val="28"/>
          <w:shd w:val="clear" w:color="auto" w:fill="F4AA00"/>
          <w:lang w:eastAsia="fr-FR"/>
        </w:rPr>
        <w:t>Le pilotage des actions et des projets pédagogiques</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Assurer le soutien et l’accompagnement du parcours scolaire de chacun des élèves et leur orientation positive.</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S'assurer de l'adéquation entre les méthodes pédagogiques de l’équipe éducative et les caractéristiques de la population scolaire et les spécificités de la matière/contenu.</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Evaluer la pertinence des méthodes pédagogiques employées au regard des résultats engrangés.</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Favoriser un leadership pédagogique partagé. </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Assurer le pilotage pédagogique de l’établissement.</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Dans le cadre du leadership pédagogique partagé, contrôler l'avancement, suivre régulièrement la progression des résultats des missions déléguées et si nécessaire ajuster de manière adéquate et cohérente en fonction des objectifs à atteindre.</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Dans le cadre du pilotage pédagogique de l’établissement, opérer les réajustements nécessaires  à partir d’évaluations menées sur base des indicateurs retenus. </w:t>
      </w:r>
    </w:p>
    <w:p>
      <w:pPr>
        <w:tabs>
          <w:tab w:val="left" w:pos="1985"/>
        </w:tabs>
        <w:spacing w:after="0" w:line="240" w:lineRule="auto"/>
        <w:ind w:left="-70"/>
        <w:jc w:val="both"/>
      </w:pPr>
      <w:r>
        <w:rPr>
          <w:rFonts w:eastAsia="Times New Roman" w:cs="Calibri"/>
          <w:bCs/>
          <w:lang w:eastAsia="fr-FR"/>
        </w:rPr>
        <w:t>Favoriser la collaboration de l’équipe éducative avec le Centre psycho-médico-social.</w:t>
      </w:r>
    </w:p>
    <w:p>
      <w:pPr>
        <w:tabs>
          <w:tab w:val="left" w:pos="1985"/>
        </w:tabs>
        <w:spacing w:after="0" w:line="240" w:lineRule="auto"/>
        <w:ind w:left="-70"/>
        <w:jc w:val="both"/>
      </w:pPr>
      <w:r>
        <w:rPr>
          <w:rFonts w:eastAsia="Times New Roman" w:cs="Calibri"/>
          <w:bCs/>
          <w:lang w:eastAsia="fr-FR"/>
        </w:rPr>
        <w:t>Développer des collaborations et des partenariats externes à l’école, notamment avec d’autres écoles.</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Coopérer avec les acteurs et les instances institués par la Communauté française et son pouvoir organisateur.</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Représenter le Pouvoir organisateur auprès des services du Gouvernement et du service général de l’Inspection.</w:t>
      </w:r>
    </w:p>
    <w:p>
      <w:pPr>
        <w:tabs>
          <w:tab w:val="left" w:pos="1985"/>
        </w:tabs>
        <w:spacing w:after="0" w:line="240" w:lineRule="auto"/>
        <w:ind w:left="-70"/>
        <w:jc w:val="both"/>
        <w:rPr>
          <w:rFonts w:eastAsia="Times New Roman" w:cs="Calibri"/>
          <w:bCs/>
          <w:lang w:eastAsia="fr-FR"/>
        </w:rPr>
      </w:pPr>
      <w:r>
        <w:rPr>
          <w:rFonts w:eastAsia="Times New Roman" w:cs="Calibri"/>
          <w:bCs/>
          <w:lang w:eastAsia="fr-FR"/>
        </w:rPr>
        <w:t>Inscrire l’action de son école dans le cadre de la politique collective de la zone.</w:t>
      </w:r>
    </w:p>
    <w:p>
      <w:pPr>
        <w:tabs>
          <w:tab w:val="left" w:pos="1985"/>
        </w:tabs>
        <w:spacing w:after="0" w:line="240" w:lineRule="auto"/>
        <w:ind w:left="-70"/>
        <w:jc w:val="both"/>
      </w:pPr>
    </w:p>
    <w:p>
      <w:pPr>
        <w:tabs>
          <w:tab w:val="left" w:pos="1985"/>
        </w:tabs>
        <w:spacing w:after="0" w:line="240" w:lineRule="auto"/>
        <w:ind w:left="-70"/>
        <w:jc w:val="both"/>
        <w:rPr>
          <w:rFonts w:eastAsia="Times New Roman" w:cs="Calibri"/>
          <w:u w:val="single"/>
          <w:lang w:eastAsia="fr-FR"/>
        </w:rPr>
      </w:pPr>
      <w:r>
        <w:rPr>
          <w:rFonts w:eastAsia="Times New Roman" w:cs="Calibri"/>
          <w:u w:val="single"/>
          <w:lang w:eastAsia="fr-FR"/>
        </w:rPr>
        <w:t xml:space="preserve">Responsabilités spécifiques pour l’Athénée royal de Woluwe-Saint-Lambert : </w:t>
      </w:r>
    </w:p>
    <w:p>
      <w:pPr>
        <w:tabs>
          <w:tab w:val="left" w:pos="1985"/>
        </w:tabs>
        <w:spacing w:after="0" w:line="240" w:lineRule="auto"/>
        <w:ind w:left="-70"/>
        <w:jc w:val="both"/>
      </w:pPr>
      <w:r>
        <w:t xml:space="preserve">Encourager la continuité du parcours scolaire des élèves au sein de l’école à tout changement de niveaux. </w:t>
      </w: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 xml:space="preserve">Encourager l’innovation pédagogique au sein de l’équipe éducative. </w:t>
      </w:r>
    </w:p>
    <w:p>
      <w:pPr>
        <w:tabs>
          <w:tab w:val="left" w:pos="1985"/>
        </w:tabs>
        <w:spacing w:after="0" w:line="240" w:lineRule="auto"/>
        <w:ind w:left="-70"/>
        <w:jc w:val="both"/>
        <w:rPr>
          <w:rFonts w:ascii="Calibri" w:eastAsia="Times New Roman" w:hAnsi="Calibri" w:cs="Calibri"/>
          <w:bCs/>
          <w:lang w:eastAsia="fr-FR"/>
        </w:rPr>
      </w:pPr>
    </w:p>
    <w:p>
      <w:pPr>
        <w:shd w:val="clear" w:color="auto" w:fill="F4AA00"/>
        <w:tabs>
          <w:tab w:val="left" w:pos="1985"/>
        </w:tabs>
        <w:spacing w:after="0" w:line="240" w:lineRule="auto"/>
        <w:ind w:left="-70"/>
        <w:jc w:val="center"/>
        <w:rPr>
          <w:rFonts w:ascii="Calibri" w:eastAsia="Times New Roman" w:hAnsi="Calibri" w:cs="Calibri"/>
          <w:bCs/>
          <w:i/>
          <w:sz w:val="28"/>
          <w:highlight w:val="yellow"/>
          <w:lang w:eastAsia="fr-FR"/>
        </w:rPr>
      </w:pPr>
      <w:r>
        <w:rPr>
          <w:rFonts w:eastAsia="Times New Roman" w:cs="Calibri"/>
          <w:bCs/>
          <w:i/>
          <w:sz w:val="28"/>
          <w:shd w:val="clear" w:color="auto" w:fill="F4AA00"/>
          <w:lang w:eastAsia="fr-FR"/>
        </w:rPr>
        <w:t>La gestion des ressources et des relations humaines</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Organiser les services de l’ensemble des membres du personnel, coordonner leur travail, fixer les objectifs dans le cadre de leurs compétences et des textes qui régissent leur fonction. Assumer en particulier, la responsabilité pédagogique et administrative de décider des horaires et des attributions des membres du personnel.</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Dans l’enseignement maternel et dans l’enseignement obligatoire, développer avec l’équipe éducative une dynamique collective et soutenir le travail collaboratif dans une visée de partage de pratiques et d’organisation apprenante.</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Collaborer avec le pouvoir organisateur pour construire une équipe éducative centrée sur l’élève, son développement et ses apprentissages.</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Soutenir le développement professionnel des membres du personnel.</w:t>
      </w:r>
    </w:p>
    <w:p>
      <w:pPr>
        <w:tabs>
          <w:tab w:val="left" w:pos="1985"/>
        </w:tabs>
        <w:spacing w:after="0" w:line="240" w:lineRule="auto"/>
        <w:ind w:left="-70"/>
        <w:jc w:val="both"/>
        <w:rPr>
          <w:rFonts w:eastAsia="Times New Roman" w:cs="Calibri"/>
          <w:bCs/>
          <w:lang w:eastAsia="fr-FR"/>
        </w:rPr>
      </w:pPr>
      <w:r>
        <w:rPr>
          <w:rFonts w:eastAsia="Times New Roman" w:cs="Calibri"/>
          <w:bCs/>
          <w:lang w:eastAsia="fr-FR"/>
        </w:rPr>
        <w:t>Accompagner les équipes éducatives dans le changement et les innovations qu’elles mettent en œuvre.</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Veiller à l’accueil et à l’intégration des nouveaux membres du personnel ainsi qu’à l’accompagnement des membres du personnel en difficulté.</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Être le représentant du pouvoir organisateur auprès des Services du Gouvernement.</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Pouvoir nouer des contacts avec le monde économique et socioculturel local de même qu’avec des organismes de protection de la jeunesse, d’aide à l’enfance et d’aide à la jeunesse.</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Participer avec le Pouvoir organisateur aux procédures de recrutement des membres du personnel.</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Evaluer les membres du personnel et en rendre compte au Pouvoir organisateur.</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Dans le cadre du soutien au développement professionnel, individuel et collectif des membres du personnel :</w:t>
      </w:r>
    </w:p>
    <w:p>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construire avec eux un plan de formation collectif pour l’établissement ;</w:t>
      </w:r>
    </w:p>
    <w:p>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les motiver et les accompagner (en particulier les enseignants débutants) ;</w:t>
      </w:r>
    </w:p>
    <w:tbl>
      <w:tblPr>
        <w:tblpPr w:leftFromText="141" w:rightFromText="141" w:vertAnchor="text" w:horzAnchor="margin" w:tblpY="-1099"/>
        <w:tblW w:w="8673" w:type="dxa"/>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auto"/>
            <w:vAlign w:val="center"/>
          </w:tcPr>
          <w:p>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t>Identité administrative</w:t>
            </w:r>
          </w:p>
        </w:tc>
        <w:tc>
          <w:tcPr>
            <w:tcW w:w="2891" w:type="dxa"/>
            <w:shd w:val="clear" w:color="auto" w:fill="F4AA00"/>
            <w:vAlign w:val="center"/>
          </w:tcPr>
          <w:p>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Référentiel des responsabilités</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Profil de compétence</w:t>
            </w:r>
          </w:p>
        </w:tc>
      </w:tr>
    </w:tbl>
    <w:p>
      <w:pPr>
        <w:numPr>
          <w:ilvl w:val="0"/>
          <w:numId w:val="2"/>
        </w:numPr>
        <w:tabs>
          <w:tab w:val="left" w:pos="1985"/>
        </w:tabs>
        <w:spacing w:after="0" w:line="240" w:lineRule="auto"/>
        <w:contextualSpacing/>
        <w:jc w:val="both"/>
      </w:pPr>
      <w:r>
        <w:rPr>
          <w:rFonts w:eastAsia="Times New Roman" w:cs="Calibri"/>
          <w:bCs/>
          <w:lang w:eastAsia="fr-FR"/>
        </w:rPr>
        <w:t>mener avec eux des entretiens de fonctionnement ;</w:t>
      </w:r>
    </w:p>
    <w:p>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les aider à clarifier le sens de leur action ;</w:t>
      </w:r>
    </w:p>
    <w:p>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participer à l’identification de leurs besoins de formation et leur faciliter l’accès à la formation en cours de carrière dans le cadre du plan de formation de l’école ;</w:t>
      </w:r>
    </w:p>
    <w:p>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 xml:space="preserve">valoriser l’expertise des membres du personnel ; </w:t>
      </w:r>
    </w:p>
    <w:p>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soutenir leurs actions tant à l’intérieur qu’à l’extérieur de l’école ;</w:t>
      </w:r>
    </w:p>
    <w:p>
      <w:pPr>
        <w:tabs>
          <w:tab w:val="left" w:pos="1985"/>
        </w:tabs>
        <w:spacing w:after="0" w:line="240" w:lineRule="auto"/>
        <w:ind w:left="-70"/>
        <w:contextualSpacing/>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Permettre aux membres du personnel l’expérimentation de nouvelles pratiques professionnelles, dans le respect du projet pédagogique du Pouvoir organisateur.</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Stimuler l’esprit d’équipe. </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Constituer dans l’école une équipe de direction et l’animer.</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Mettre en place une dynamique collaborative favorisant le partage, la concertation, et la construction collective.</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Renforcer la démocratie scolaire en impliquant tous les acteurs de l’école et en promouvant le vivre ensemble.</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Développer dans l’école les conditions d’un climat relationnel positif et du respect mutuel. </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Assurer les relations de l’école avec les élèves, les parents et les tiers, et dans ce cadre, développer l’accueil et le dialogue.</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Veiller à une application juste et humaine aux élèves du règlement d’ordre intérieur et des éventuelles sanctions disciplinaires. </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Prévenir et gérer les conflits, en faisant appel, le cas échéant, à des ressources externes.</w:t>
      </w:r>
    </w:p>
    <w:p>
      <w:pPr>
        <w:tabs>
          <w:tab w:val="left" w:pos="1985"/>
        </w:tabs>
        <w:spacing w:after="0" w:line="240" w:lineRule="auto"/>
        <w:ind w:left="-70"/>
        <w:jc w:val="both"/>
        <w:rPr>
          <w:rFonts w:eastAsia="Times New Roman" w:cs="Calibri"/>
          <w:bCs/>
          <w:lang w:eastAsia="fr-FR"/>
        </w:rPr>
      </w:pPr>
      <w:r>
        <w:rPr>
          <w:rFonts w:eastAsia="Times New Roman" w:cs="Calibri"/>
          <w:bCs/>
          <w:lang w:eastAsia="fr-FR"/>
        </w:rPr>
        <w:t>Veiller au respect du statut des membres du personnel et du règlement de travail.</w:t>
      </w:r>
    </w:p>
    <w:p>
      <w:pPr>
        <w:tabs>
          <w:tab w:val="left" w:pos="1985"/>
        </w:tabs>
        <w:spacing w:after="0" w:line="240" w:lineRule="auto"/>
        <w:ind w:left="-70"/>
        <w:jc w:val="both"/>
        <w:rPr>
          <w:rFonts w:eastAsia="Times New Roman" w:cs="Calibri"/>
          <w:bCs/>
          <w:lang w:eastAsia="fr-FR"/>
        </w:rPr>
      </w:pPr>
    </w:p>
    <w:p>
      <w:pPr>
        <w:shd w:val="clear" w:color="auto" w:fill="F4AA00"/>
        <w:tabs>
          <w:tab w:val="left" w:pos="1985"/>
        </w:tabs>
        <w:spacing w:after="0" w:line="240" w:lineRule="auto"/>
        <w:ind w:left="-70"/>
        <w:jc w:val="center"/>
        <w:rPr>
          <w:rFonts w:ascii="Calibri" w:eastAsia="Times New Roman" w:hAnsi="Calibri" w:cs="Calibri"/>
          <w:bCs/>
          <w:i/>
          <w:sz w:val="28"/>
          <w:highlight w:val="yellow"/>
          <w:lang w:eastAsia="fr-FR"/>
        </w:rPr>
      </w:pPr>
      <w:r>
        <w:rPr>
          <w:rFonts w:eastAsia="Times New Roman" w:cs="Calibri"/>
          <w:bCs/>
          <w:i/>
          <w:sz w:val="28"/>
          <w:shd w:val="clear" w:color="auto" w:fill="F4AA00"/>
          <w:lang w:eastAsia="fr-FR"/>
        </w:rPr>
        <w:t>La communication interne et externe</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Recueillir, analyser, intégrer et faire circuler l’information en la reformulant de manière adaptée et au moyen des dispositifs adéquats à l’attention, respectivement, du Pouvoir organisateur, des membres du personnel, des élèves, des parents et des agents du Centre psycho-médico-social et en tant qu’interface, avec les partenaires et interlocuteurs extérieurs.</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Gérer la communication extérieure de l’établissement, en ce compris les relations avec les médias, dans la limite des délégations qui ont été données.</w:t>
      </w:r>
    </w:p>
    <w:p>
      <w:pPr>
        <w:tabs>
          <w:tab w:val="left" w:pos="1985"/>
        </w:tabs>
        <w:spacing w:after="0" w:line="240" w:lineRule="auto"/>
        <w:ind w:left="-70"/>
        <w:jc w:val="both"/>
        <w:rPr>
          <w:rFonts w:eastAsia="Times New Roman" w:cs="Calibri"/>
          <w:bCs/>
          <w:lang w:eastAsia="fr-FR"/>
        </w:rPr>
      </w:pPr>
      <w:r>
        <w:rPr>
          <w:rFonts w:eastAsia="Times New Roman" w:cs="Calibri"/>
          <w:bCs/>
          <w:lang w:eastAsia="fr-FR"/>
        </w:rPr>
        <w:t>Construire des dispositifs de communication entre les acteurs de l’école  et avec les partenaires de l’école.</w:t>
      </w:r>
    </w:p>
    <w:p>
      <w:pPr>
        <w:tabs>
          <w:tab w:val="left" w:pos="1985"/>
        </w:tabs>
        <w:spacing w:after="0" w:line="240" w:lineRule="auto"/>
        <w:ind w:left="-70"/>
        <w:jc w:val="both"/>
        <w:rPr>
          <w:rFonts w:eastAsia="Times New Roman" w:cs="Calibri"/>
          <w:bCs/>
          <w:lang w:eastAsia="fr-FR"/>
        </w:rPr>
      </w:pPr>
    </w:p>
    <w:p>
      <w:pPr>
        <w:tabs>
          <w:tab w:val="left" w:pos="1985"/>
        </w:tabs>
        <w:spacing w:after="0" w:line="240" w:lineRule="auto"/>
        <w:ind w:left="-70"/>
        <w:jc w:val="both"/>
        <w:rPr>
          <w:rFonts w:eastAsia="Times New Roman" w:cs="Calibri"/>
          <w:u w:val="single"/>
          <w:lang w:eastAsia="fr-FR"/>
        </w:rPr>
      </w:pPr>
      <w:r>
        <w:rPr>
          <w:rFonts w:eastAsia="Times New Roman" w:cs="Calibri"/>
          <w:u w:val="single"/>
          <w:lang w:eastAsia="fr-FR"/>
        </w:rPr>
        <w:t xml:space="preserve">Responsabilités spécifiques pour l’Athénée royal de Woluwe-Saint-Lambert : </w:t>
      </w:r>
    </w:p>
    <w:p>
      <w:pPr>
        <w:tabs>
          <w:tab w:val="left" w:pos="1985"/>
        </w:tabs>
        <w:spacing w:after="0" w:line="240" w:lineRule="auto"/>
        <w:ind w:left="-70"/>
        <w:jc w:val="both"/>
        <w:rPr>
          <w:rFonts w:eastAsia="Times New Roman" w:cs="Calibri"/>
          <w:lang w:eastAsia="fr-FR"/>
        </w:rPr>
      </w:pPr>
      <w:r>
        <w:rPr>
          <w:rFonts w:eastAsia="Times New Roman" w:cs="Calibri"/>
          <w:lang w:eastAsia="fr-FR"/>
        </w:rPr>
        <w:t>Faire connaitre l’école dans la commune par une mise en avant des atouts de l’école.</w:t>
      </w:r>
    </w:p>
    <w:p>
      <w:pPr>
        <w:tabs>
          <w:tab w:val="left" w:pos="1985"/>
        </w:tabs>
        <w:spacing w:after="0" w:line="240" w:lineRule="auto"/>
        <w:ind w:left="-70"/>
        <w:jc w:val="both"/>
        <w:rPr>
          <w:rFonts w:eastAsia="Times New Roman" w:cs="Calibri"/>
          <w:lang w:eastAsia="fr-FR"/>
        </w:rPr>
      </w:pPr>
      <w:r>
        <w:rPr>
          <w:rFonts w:eastAsia="Times New Roman" w:cs="Calibri"/>
          <w:lang w:eastAsia="fr-FR"/>
        </w:rPr>
        <w:t>Favoriser la participation des parents dans la scolarité des élèves.</w:t>
      </w:r>
    </w:p>
    <w:p>
      <w:pPr>
        <w:tabs>
          <w:tab w:val="left" w:pos="1985"/>
        </w:tabs>
        <w:spacing w:after="0" w:line="240" w:lineRule="auto"/>
        <w:ind w:left="-70"/>
        <w:jc w:val="both"/>
        <w:rPr>
          <w:rFonts w:ascii="Calibri" w:eastAsia="Times New Roman" w:hAnsi="Calibri" w:cs="Calibri"/>
          <w:bCs/>
          <w:i/>
          <w:sz w:val="24"/>
          <w:highlight w:val="red"/>
          <w:lang w:eastAsia="fr-FR"/>
        </w:rPr>
      </w:pPr>
    </w:p>
    <w:p>
      <w:pPr>
        <w:shd w:val="clear" w:color="auto" w:fill="F4AA00"/>
        <w:tabs>
          <w:tab w:val="left" w:pos="1985"/>
        </w:tabs>
        <w:spacing w:after="0" w:line="240" w:lineRule="auto"/>
        <w:ind w:left="-70"/>
        <w:jc w:val="center"/>
        <w:rPr>
          <w:rFonts w:ascii="Calibri" w:eastAsia="Times New Roman" w:hAnsi="Calibri" w:cs="Calibri"/>
          <w:bCs/>
          <w:i/>
          <w:sz w:val="28"/>
          <w:highlight w:val="red"/>
          <w:lang w:eastAsia="fr-FR"/>
        </w:rPr>
      </w:pPr>
      <w:r>
        <w:rPr>
          <w:rFonts w:eastAsia="Times New Roman" w:cs="Calibri"/>
          <w:bCs/>
          <w:i/>
          <w:sz w:val="28"/>
          <w:shd w:val="clear" w:color="auto" w:fill="F4AA00"/>
          <w:lang w:eastAsia="fr-FR"/>
        </w:rPr>
        <w:t>La gestion administrative, financière et matérielle de l’établissement</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eastAsia="Times New Roman" w:cs="Calibri"/>
          <w:bCs/>
          <w:lang w:eastAsia="fr-FR"/>
        </w:rPr>
      </w:pPr>
      <w:r>
        <w:rPr>
          <w:rFonts w:eastAsia="Times New Roman" w:cs="Calibri"/>
          <w:bCs/>
          <w:lang w:eastAsia="fr-FR"/>
        </w:rPr>
        <w:t>Garantir le respect des dispositions légales et réglementaires.</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Assurer la gestion du budget pour lequel délégation a été donnée, en vue de parvenir à un fonctionnement optimal de l’école et à la réalisation de ses objectifs.</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eastAsia="Times New Roman" w:cs="Calibri"/>
          <w:bCs/>
          <w:lang w:eastAsia="fr-FR"/>
        </w:rPr>
      </w:pPr>
      <w:r>
        <w:rPr>
          <w:rFonts w:eastAsia="Times New Roman" w:cs="Calibri"/>
          <w:bCs/>
          <w:lang w:eastAsia="fr-FR"/>
        </w:rPr>
        <w:t>Objectiver les besoins de l’école en infrastructures et en équipements pédagogiques, techniques et informatiques nécessaires à son fonctionnement et en informer le pouvoir organisateur.</w:t>
      </w:r>
    </w:p>
    <w:p>
      <w:pPr>
        <w:tabs>
          <w:tab w:val="left" w:pos="1985"/>
        </w:tabs>
        <w:spacing w:after="0" w:line="240" w:lineRule="auto"/>
        <w:ind w:left="-70"/>
        <w:jc w:val="both"/>
        <w:rPr>
          <w:rFonts w:eastAsia="Times New Roman" w:cs="Calibri"/>
          <w:bCs/>
          <w:lang w:eastAsia="fr-FR"/>
        </w:rPr>
      </w:pPr>
      <w:r>
        <w:rPr>
          <w:rFonts w:eastAsia="Times New Roman" w:cs="Calibri"/>
          <w:bCs/>
          <w:lang w:eastAsia="fr-FR"/>
        </w:rPr>
        <w:t>Assurer la gestion et l’entretien des bâtiments, des infrastructures et des équipements scolaires, pour lesquels délégation a été donnée, y compris en matière de sécurité,  d'hygiène et de bien-être au travail.</w:t>
      </w:r>
    </w:p>
    <w:tbl>
      <w:tblPr>
        <w:tblpPr w:leftFromText="141" w:rightFromText="141" w:vertAnchor="text" w:horzAnchor="margin" w:tblpXSpec="center" w:tblpY="-726"/>
        <w:tblW w:w="8673" w:type="dxa"/>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auto"/>
            <w:vAlign w:val="center"/>
          </w:tcPr>
          <w:p>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t>Identité administrative</w:t>
            </w:r>
          </w:p>
        </w:tc>
        <w:tc>
          <w:tcPr>
            <w:tcW w:w="2891" w:type="dxa"/>
            <w:shd w:val="clear" w:color="auto" w:fill="F4AA00"/>
            <w:vAlign w:val="center"/>
          </w:tcPr>
          <w:p>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Référentiel des responsabilités</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Profil de compétence</w:t>
            </w:r>
          </w:p>
        </w:tc>
      </w:tr>
    </w:tbl>
    <w:p>
      <w:pPr>
        <w:tabs>
          <w:tab w:val="left" w:pos="1985"/>
        </w:tabs>
        <w:spacing w:after="0" w:line="240" w:lineRule="auto"/>
        <w:ind w:left="-70"/>
        <w:jc w:val="both"/>
        <w:rPr>
          <w:rFonts w:ascii="Calibri" w:eastAsia="Times New Roman" w:hAnsi="Calibri" w:cs="Calibri"/>
          <w:bCs/>
          <w:lang w:eastAsia="fr-FR"/>
        </w:rPr>
      </w:pPr>
    </w:p>
    <w:p>
      <w:pPr>
        <w:shd w:val="clear" w:color="auto" w:fill="F4AA00"/>
        <w:tabs>
          <w:tab w:val="left" w:pos="1985"/>
        </w:tabs>
        <w:spacing w:after="0" w:line="240" w:lineRule="auto"/>
        <w:ind w:left="-70"/>
        <w:jc w:val="center"/>
        <w:rPr>
          <w:rFonts w:ascii="Calibri" w:eastAsia="Times New Roman" w:hAnsi="Calibri" w:cs="Calibri"/>
          <w:bCs/>
          <w:i/>
          <w:sz w:val="28"/>
          <w:highlight w:val="yellow"/>
          <w:lang w:eastAsia="fr-FR"/>
        </w:rPr>
      </w:pPr>
      <w:r>
        <w:rPr>
          <w:rFonts w:eastAsia="Times New Roman" w:cs="Calibri"/>
          <w:bCs/>
          <w:i/>
          <w:sz w:val="28"/>
          <w:shd w:val="clear" w:color="auto" w:fill="F4AA00"/>
          <w:lang w:eastAsia="fr-FR"/>
        </w:rPr>
        <w:t>La planification et la gestion active de son propre développement professionnel</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S’enrichir continument de nouvelles idées, compétences et connaissances.</w:t>
      </w:r>
    </w:p>
    <w:p>
      <w:pPr>
        <w:tabs>
          <w:tab w:val="left" w:pos="1985"/>
        </w:tabs>
        <w:spacing w:after="0" w:line="240" w:lineRule="auto"/>
        <w:ind w:left="-70"/>
        <w:jc w:val="both"/>
        <w:rPr>
          <w:rFonts w:ascii="Calibri" w:eastAsia="Times New Roman" w:hAnsi="Calibri" w:cs="Calibri"/>
          <w:lang w:eastAsia="fr-FR"/>
        </w:rPr>
      </w:pPr>
      <w:r>
        <w:rPr>
          <w:rFonts w:eastAsia="Times New Roman" w:cs="Calibri"/>
          <w:lang w:eastAsia="fr-FR"/>
        </w:rPr>
        <w:t xml:space="preserve">Avoir des entretiens de fonctionnement réguliers avec le pouvoir organisateur ou les délégués de celui-ci, en référence à la lettre de mission et à l’auto-évaluation. </w:t>
      </w:r>
    </w:p>
    <w:p>
      <w:pPr>
        <w:tabs>
          <w:tab w:val="left" w:pos="1985"/>
        </w:tabs>
        <w:spacing w:after="0" w:line="240" w:lineRule="auto"/>
        <w:ind w:left="-70"/>
        <w:jc w:val="both"/>
        <w:rPr>
          <w:rFonts w:ascii="Calibri" w:eastAsia="Times New Roman" w:hAnsi="Calibri" w:cs="Calibri"/>
          <w:lang w:eastAsia="fr-FR"/>
        </w:rPr>
      </w:pPr>
      <w:r>
        <w:rPr>
          <w:rFonts w:eastAsia="Times New Roman" w:cs="Calibri"/>
          <w:lang w:eastAsia="fr-FR"/>
        </w:rPr>
        <w:t>S’inscrire dans une démarche de formation continuée.</w:t>
      </w:r>
    </w:p>
    <w:p>
      <w:pPr>
        <w:tabs>
          <w:tab w:val="left" w:pos="1985"/>
        </w:tabs>
        <w:spacing w:after="0" w:line="240" w:lineRule="auto"/>
        <w:ind w:left="-70"/>
        <w:jc w:val="both"/>
        <w:rPr>
          <w:rFonts w:eastAsia="Times New Roman" w:cs="Calibri"/>
          <w:lang w:eastAsia="fr-FR"/>
        </w:rPr>
      </w:pPr>
      <w:r>
        <w:rPr>
          <w:rFonts w:eastAsia="Times New Roman" w:cs="Calibri"/>
          <w:lang w:eastAsia="fr-FR"/>
        </w:rPr>
        <w:t>Autoévaluer régulièrement son fonctionnement professionnel et en tirer de nouvelles lignes d’action ou de comportement.</w:t>
      </w:r>
    </w:p>
    <w:p>
      <w:pPr>
        <w:tabs>
          <w:tab w:val="left" w:pos="1985"/>
        </w:tabs>
        <w:spacing w:after="0" w:line="240" w:lineRule="auto"/>
        <w:ind w:left="-70"/>
        <w:jc w:val="both"/>
        <w:rPr>
          <w:rFonts w:eastAsia="Times New Roman" w:cs="Calibri"/>
          <w:lang w:eastAsia="fr-FR"/>
        </w:rPr>
      </w:pPr>
    </w:p>
    <w:p>
      <w:pPr>
        <w:tabs>
          <w:tab w:val="left" w:pos="1985"/>
        </w:tabs>
        <w:spacing w:after="0" w:line="240" w:lineRule="auto"/>
        <w:ind w:left="-70"/>
        <w:jc w:val="center"/>
        <w:rPr>
          <w:rFonts w:ascii="Calibri" w:eastAsia="Times New Roman" w:hAnsi="Calibri" w:cs="Times New Roman"/>
          <w:lang w:eastAsia="fr-FR"/>
        </w:rPr>
      </w:pPr>
      <w:r>
        <w:rPr>
          <w:rFonts w:eastAsia="Times New Roman" w:cs="Times New Roman"/>
          <w:szCs w:val="24"/>
          <w:lang w:eastAsia="fr-FR"/>
        </w:rPr>
        <w:t>Cette liste des tâches n’est pas exhaustive.</w:t>
      </w: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spacing w:after="0" w:line="240" w:lineRule="auto"/>
        <w:rPr>
          <w:rFonts w:ascii="Calibri" w:eastAsia="Times New Roman" w:hAnsi="Calibri" w:cs="Times New Roman"/>
          <w:lang w:eastAsia="fr-FR"/>
        </w:rPr>
      </w:pPr>
    </w:p>
    <w:tbl>
      <w:tblPr>
        <w:tblpPr w:leftFromText="141" w:rightFromText="141" w:vertAnchor="text" w:horzAnchor="margin" w:tblpXSpec="center" w:tblpY="-384"/>
        <w:tblW w:w="8673" w:type="dxa"/>
        <w:jc w:val="center"/>
        <w:tblCellMar>
          <w:left w:w="70" w:type="dxa"/>
          <w:right w:w="70" w:type="dxa"/>
        </w:tblCellMar>
        <w:tblLook w:val="0000" w:firstRow="0" w:lastRow="0" w:firstColumn="0" w:lastColumn="0" w:noHBand="0" w:noVBand="0"/>
      </w:tblPr>
      <w:tblGrid>
        <w:gridCol w:w="2891"/>
        <w:gridCol w:w="2891"/>
        <w:gridCol w:w="2891"/>
      </w:tblGrid>
      <w:tr>
        <w:trPr>
          <w:trHeight w:val="499"/>
          <w:jc w:val="center"/>
        </w:trPr>
        <w:tc>
          <w:tcPr>
            <w:tcW w:w="2891" w:type="dxa"/>
            <w:shd w:val="clear" w:color="auto" w:fill="auto"/>
            <w:vAlign w:val="center"/>
          </w:tcPr>
          <w:p>
            <w:pPr>
              <w:tabs>
                <w:tab w:val="left" w:pos="1985"/>
              </w:tabs>
              <w:spacing w:after="0" w:line="240" w:lineRule="auto"/>
              <w:ind w:left="181"/>
              <w:jc w:val="center"/>
            </w:pPr>
            <w:r>
              <w:rPr>
                <w:rFonts w:eastAsia="Times New Roman" w:cs="Times New Roman"/>
                <w:sz w:val="20"/>
                <w:szCs w:val="20"/>
                <w:lang w:eastAsia="fr-FR"/>
              </w:rPr>
              <w:t>Identité administrative</w:t>
            </w:r>
          </w:p>
        </w:tc>
        <w:tc>
          <w:tcPr>
            <w:tcW w:w="2891" w:type="dxa"/>
            <w:shd w:val="clear" w:color="auto" w:fill="auto"/>
            <w:vAlign w:val="center"/>
          </w:tcPr>
          <w:p>
            <w:pPr>
              <w:tabs>
                <w:tab w:val="left" w:pos="1985"/>
              </w:tabs>
              <w:spacing w:after="0" w:line="240" w:lineRule="auto"/>
              <w:jc w:val="center"/>
            </w:pPr>
            <w:r>
              <w:rPr>
                <w:rFonts w:eastAsia="Times New Roman" w:cs="Times New Roman"/>
                <w:sz w:val="20"/>
                <w:szCs w:val="20"/>
                <w:lang w:eastAsia="fr-FR"/>
              </w:rPr>
              <w:t>Référentiel des responsabilités</w:t>
            </w:r>
          </w:p>
        </w:tc>
        <w:tc>
          <w:tcPr>
            <w:tcW w:w="2891" w:type="dxa"/>
            <w:shd w:val="clear" w:color="auto" w:fill="001D77"/>
            <w:vAlign w:val="center"/>
          </w:tcPr>
          <w:p>
            <w:pPr>
              <w:tabs>
                <w:tab w:val="left" w:pos="1985"/>
              </w:tabs>
              <w:spacing w:after="0" w:line="240" w:lineRule="auto"/>
              <w:jc w:val="center"/>
            </w:pPr>
            <w:r>
              <w:rPr>
                <w:rFonts w:eastAsia="Times New Roman" w:cs="Times New Roman"/>
                <w:b/>
                <w:color w:val="FFFFFF"/>
                <w:sz w:val="20"/>
                <w:szCs w:val="20"/>
                <w:lang w:eastAsia="fr-FR"/>
              </w:rPr>
              <w:t>Profil de compétence</w:t>
            </w:r>
          </w:p>
        </w:tc>
      </w:tr>
    </w:tbl>
    <w:p>
      <w:pPr>
        <w:tabs>
          <w:tab w:val="left" w:pos="1985"/>
        </w:tabs>
        <w:spacing w:after="0" w:line="240" w:lineRule="auto"/>
        <w:jc w:val="both"/>
        <w:rPr>
          <w:rFonts w:ascii="Calibri" w:eastAsia="Times New Roman" w:hAnsi="Calibri" w:cs="Times New Roman"/>
          <w:sz w:val="24"/>
          <w:szCs w:val="24"/>
          <w:lang w:eastAsia="fr-FR"/>
        </w:rPr>
      </w:pPr>
    </w:p>
    <w:tbl>
      <w:tblPr>
        <w:tblpPr w:leftFromText="141" w:rightFromText="141" w:vertAnchor="text" w:horzAnchor="margin" w:tblpXSpec="center" w:tblpY="234"/>
        <w:tblW w:w="9776" w:type="dxa"/>
        <w:jc w:val="center"/>
        <w:tblCellMar>
          <w:left w:w="70" w:type="dxa"/>
          <w:right w:w="70" w:type="dxa"/>
        </w:tblCellMar>
        <w:tblLook w:val="0000" w:firstRow="0" w:lastRow="0" w:firstColumn="0" w:lastColumn="0" w:noHBand="0" w:noVBand="0"/>
      </w:tblPr>
      <w:tblGrid>
        <w:gridCol w:w="8216"/>
        <w:gridCol w:w="710"/>
        <w:gridCol w:w="850"/>
      </w:tblGrid>
      <w:tr>
        <w:trPr>
          <w:trHeight w:val="586"/>
          <w:jc w:val="center"/>
        </w:trPr>
        <w:tc>
          <w:tcPr>
            <w:tcW w:w="9776" w:type="dxa"/>
            <w:gridSpan w:val="3"/>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pPr>
            <w:r>
              <w:rPr>
                <w:rFonts w:eastAsia="Times New Roman" w:cs="Times New Roman"/>
                <w:b/>
                <w:sz w:val="24"/>
                <w:szCs w:val="20"/>
                <w:lang w:eastAsia="fr-FR"/>
              </w:rPr>
              <w:t>Compétences Techniques</w:t>
            </w:r>
            <w:bookmarkStart w:id="15" w:name="__UnoMark__745_2749759877"/>
            <w:bookmarkEnd w:id="15"/>
          </w:p>
        </w:tc>
      </w:tr>
      <w:tr>
        <w:trPr>
          <w:trHeight w:val="531"/>
          <w:jc w:val="center"/>
        </w:trPr>
        <w:tc>
          <w:tcPr>
            <w:tcW w:w="8216" w:type="dxa"/>
            <w:vMerge w:val="restart"/>
            <w:tcBorders>
              <w:top w:val="single" w:sz="4" w:space="0" w:color="000000"/>
              <w:left w:val="single" w:sz="4" w:space="0" w:color="000000"/>
              <w:bottom w:val="single" w:sz="4" w:space="0" w:color="000000"/>
              <w:right w:val="single" w:sz="4" w:space="0" w:color="000000"/>
            </w:tcBorders>
            <w:shd w:val="clear" w:color="auto" w:fill="FFFFFF"/>
          </w:tcPr>
          <w:p>
            <w:pPr>
              <w:tabs>
                <w:tab w:val="left" w:pos="1985"/>
              </w:tabs>
              <w:spacing w:after="0" w:line="240" w:lineRule="auto"/>
            </w:pPr>
            <w:bookmarkStart w:id="16" w:name="__UnoMark__746_2749759877"/>
            <w:bookmarkEnd w:id="16"/>
            <w:r>
              <w:rPr>
                <w:rFonts w:eastAsia="Times New Roman" w:cs="Times New Roman"/>
                <w:b/>
                <w:color w:val="000000"/>
                <w:lang w:eastAsia="fr-FR"/>
              </w:rPr>
              <w:t xml:space="preserve">Niveaux de maitrise </w:t>
            </w:r>
          </w:p>
          <w:p>
            <w:pPr>
              <w:numPr>
                <w:ilvl w:val="0"/>
                <w:numId w:val="1"/>
              </w:numPr>
              <w:tabs>
                <w:tab w:val="left" w:pos="1985"/>
              </w:tabs>
              <w:spacing w:after="0" w:line="240" w:lineRule="auto"/>
              <w:contextualSpacing/>
            </w:pPr>
            <w:r>
              <w:rPr>
                <w:rFonts w:eastAsia="Times New Roman" w:cs="Times New Roman"/>
                <w:b/>
                <w:color w:val="000000"/>
                <w:lang w:eastAsia="fr-FR"/>
              </w:rPr>
              <w:t>Aptitude à acquérir la compétence -&gt; avoir des notions théoriques</w:t>
            </w:r>
          </w:p>
          <w:p>
            <w:pPr>
              <w:numPr>
                <w:ilvl w:val="0"/>
                <w:numId w:val="1"/>
              </w:numPr>
              <w:tabs>
                <w:tab w:val="left" w:pos="1985"/>
              </w:tabs>
              <w:spacing w:after="0" w:line="240" w:lineRule="auto"/>
              <w:contextualSpacing/>
            </w:pPr>
            <w:r>
              <w:rPr>
                <w:rFonts w:eastAsia="Times New Roman" w:cs="Times New Roman"/>
                <w:b/>
                <w:color w:val="000000"/>
                <w:lang w:eastAsia="fr-FR"/>
              </w:rPr>
              <w:t>Élémentaire -&gt; agir de façon réactive</w:t>
            </w:r>
          </w:p>
          <w:p>
            <w:pPr>
              <w:numPr>
                <w:ilvl w:val="0"/>
                <w:numId w:val="1"/>
              </w:numPr>
              <w:tabs>
                <w:tab w:val="left" w:pos="1985"/>
              </w:tabs>
              <w:spacing w:after="0" w:line="240" w:lineRule="auto"/>
              <w:contextualSpacing/>
            </w:pPr>
            <w:r>
              <w:rPr>
                <w:rFonts w:eastAsia="Times New Roman" w:cs="Times New Roman"/>
                <w:b/>
                <w:color w:val="000000"/>
                <w:lang w:eastAsia="fr-FR"/>
              </w:rPr>
              <w:t>Intermédiaire -&gt; agir de façon autonome</w:t>
            </w:r>
          </w:p>
          <w:p>
            <w:pPr>
              <w:numPr>
                <w:ilvl w:val="0"/>
                <w:numId w:val="1"/>
              </w:numPr>
              <w:tabs>
                <w:tab w:val="left" w:pos="1985"/>
              </w:tabs>
              <w:spacing w:after="0" w:line="240" w:lineRule="auto"/>
              <w:contextualSpacing/>
            </w:pPr>
            <w:r>
              <w:rPr>
                <w:rFonts w:eastAsia="Times New Roman" w:cs="Times New Roman"/>
                <w:b/>
                <w:color w:val="000000"/>
                <w:lang w:eastAsia="fr-FR"/>
              </w:rPr>
              <w:t>Avancé -&gt; agir avec excellence</w:t>
            </w:r>
            <w:r>
              <w:rPr>
                <w:rFonts w:eastAsia="Times New Roman" w:cs="Times New Roman"/>
                <w:b/>
                <w:color w:val="000000"/>
                <w:lang w:eastAsia="fr-FR"/>
              </w:rPr>
              <w:br/>
            </w:r>
            <w:bookmarkStart w:id="17" w:name="__UnoMark__747_2749759877"/>
            <w:bookmarkEnd w:id="17"/>
          </w:p>
        </w:tc>
        <w:tc>
          <w:tcPr>
            <w:tcW w:w="156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18" w:name="__UnoMark__748_2749759877"/>
            <w:bookmarkEnd w:id="18"/>
            <w:r>
              <w:rPr>
                <w:rFonts w:eastAsia="Times New Roman" w:cs="Calibri"/>
                <w:lang w:eastAsia="fr-FR"/>
              </w:rPr>
              <w:t>Niveau attendu</w:t>
            </w:r>
            <w:bookmarkStart w:id="19" w:name="__UnoMark__749_2749759877"/>
            <w:bookmarkEnd w:id="19"/>
            <w:r>
              <w:rPr>
                <w:rFonts w:eastAsia="Times New Roman" w:cs="Calibri"/>
                <w:lang w:eastAsia="fr-FR"/>
              </w:rPr>
              <w:t> :</w:t>
            </w:r>
          </w:p>
        </w:tc>
      </w:tr>
      <w:tr>
        <w:trPr>
          <w:trHeight w:val="846"/>
          <w:jc w:val="center"/>
        </w:trPr>
        <w:tc>
          <w:tcPr>
            <w:tcW w:w="8216" w:type="dxa"/>
            <w:vMerge/>
            <w:tcBorders>
              <w:top w:val="single" w:sz="4" w:space="0" w:color="000000"/>
              <w:left w:val="single" w:sz="4" w:space="0" w:color="000000"/>
              <w:bottom w:val="single" w:sz="4" w:space="0" w:color="000000"/>
              <w:right w:val="single" w:sz="4" w:space="0" w:color="000000"/>
            </w:tcBorders>
            <w:shd w:val="clear" w:color="auto" w:fill="FFFFFF"/>
          </w:tcPr>
          <w:p>
            <w:pPr>
              <w:tabs>
                <w:tab w:val="left" w:pos="1985"/>
              </w:tabs>
              <w:spacing w:after="0" w:line="240" w:lineRule="auto"/>
              <w:rPr>
                <w:rFonts w:ascii="Calibri" w:eastAsia="Times New Roman" w:hAnsi="Calibri" w:cs="Times New Roman"/>
                <w:b/>
                <w:color w:val="000000"/>
                <w:lang w:eastAsia="fr-FR"/>
              </w:rPr>
            </w:pPr>
            <w:bookmarkStart w:id="20" w:name="__UnoMark__751_2749759877"/>
            <w:bookmarkStart w:id="21" w:name="__UnoMark__750_2749759877"/>
            <w:bookmarkEnd w:id="20"/>
            <w:bookmarkEnd w:id="21"/>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22" w:name="__UnoMark__752_2749759877"/>
            <w:bookmarkEnd w:id="22"/>
            <w:r>
              <w:rPr>
                <w:rFonts w:eastAsia="Times New Roman" w:cs="Calibri"/>
                <w:lang w:eastAsia="fr-FR"/>
              </w:rPr>
              <w:t>En jury</w:t>
            </w:r>
            <w:bookmarkStart w:id="23" w:name="__UnoMark__753_2749759877"/>
            <w:bookmarkEnd w:id="23"/>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24" w:name="__UnoMark__754_2749759877"/>
            <w:bookmarkStart w:id="25" w:name="__UnoMark__755_2749759877"/>
            <w:bookmarkEnd w:id="24"/>
            <w:bookmarkEnd w:id="25"/>
            <w:r>
              <w:rPr>
                <w:rFonts w:eastAsia="Times New Roman" w:cs="Calibri"/>
                <w:lang w:eastAsia="fr-FR"/>
              </w:rPr>
              <w:t>À terme</w:t>
            </w:r>
          </w:p>
        </w:tc>
      </w:tr>
      <w:tr>
        <w:trPr>
          <w:trHeight w:val="397"/>
          <w:jc w:val="center"/>
        </w:trPr>
        <w:tc>
          <w:tcPr>
            <w:tcW w:w="9776" w:type="dxa"/>
            <w:gridSpan w:val="3"/>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pPr>
            <w:bookmarkStart w:id="26" w:name="__UnoMark__756_2749759877"/>
            <w:bookmarkEnd w:id="26"/>
            <w:r>
              <w:rPr>
                <w:rFonts w:eastAsia="Times New Roman" w:cs="Times New Roman"/>
                <w:b/>
                <w:lang w:eastAsia="fr-FR"/>
              </w:rPr>
              <w:t>Réglementation</w:t>
            </w:r>
            <w:bookmarkStart w:id="27" w:name="__UnoMark__757_2749759877"/>
            <w:bookmarkEnd w:id="27"/>
          </w:p>
        </w:tc>
      </w:tr>
      <w:tr>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28" w:name="__UnoMark__758_2749759877"/>
            <w:bookmarkEnd w:id="28"/>
            <w:r>
              <w:rPr>
                <w:rFonts w:eastAsia="Times New Roman" w:cs="Times New Roman"/>
                <w:lang w:eastAsia="fr-FR"/>
              </w:rPr>
              <w:t xml:space="preserve">Avoir la capacité de lire et comprendre un texte juridique. </w:t>
            </w:r>
            <w:bookmarkStart w:id="29" w:name="__UnoMark__759_2749759877"/>
            <w:bookmarkEnd w:id="29"/>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30" w:name="__UnoMark__760_2749759877"/>
            <w:bookmarkEnd w:id="30"/>
            <w:r>
              <w:rPr>
                <w:rFonts w:eastAsia="Times New Roman" w:cs="Calibri"/>
                <w:lang w:eastAsia="fr-FR"/>
              </w:rPr>
              <w:t xml:space="preserve">B </w:t>
            </w:r>
            <w:bookmarkStart w:id="31" w:name="__UnoMark__761_2749759877"/>
            <w:bookmarkEnd w:id="31"/>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32" w:name="__UnoMark__762_2749759877"/>
            <w:bookmarkEnd w:id="32"/>
            <w:r>
              <w:rPr>
                <w:rFonts w:eastAsia="Times New Roman" w:cs="Calibri"/>
                <w:lang w:eastAsia="fr-FR"/>
              </w:rPr>
              <w:t>C</w:t>
            </w:r>
            <w:bookmarkStart w:id="33" w:name="__UnoMark__763_2749759877"/>
            <w:bookmarkEnd w:id="33"/>
          </w:p>
        </w:tc>
      </w:tr>
      <w:tr>
        <w:trPr>
          <w:trHeight w:val="397"/>
          <w:jc w:val="center"/>
        </w:trPr>
        <w:tc>
          <w:tcPr>
            <w:tcW w:w="9776" w:type="dxa"/>
            <w:gridSpan w:val="3"/>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pPr>
            <w:bookmarkStart w:id="34" w:name="__UnoMark__764_2749759877"/>
            <w:bookmarkEnd w:id="34"/>
            <w:r>
              <w:rPr>
                <w:rFonts w:eastAsia="Times New Roman" w:cs="Calibri"/>
                <w:b/>
                <w:lang w:eastAsia="fr-FR"/>
              </w:rPr>
              <w:t>Pédagog</w:t>
            </w:r>
            <w:bookmarkStart w:id="35" w:name="__UnoMark__765_2749759877"/>
            <w:bookmarkEnd w:id="35"/>
            <w:r>
              <w:rPr>
                <w:rFonts w:eastAsia="Times New Roman" w:cs="Calibri"/>
                <w:b/>
                <w:lang w:eastAsia="fr-FR"/>
              </w:rPr>
              <w:t>ie</w:t>
            </w:r>
          </w:p>
        </w:tc>
      </w:tr>
      <w:tr>
        <w:trPr>
          <w:trHeight w:val="397"/>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36" w:name="__UnoMark__766_2749759877"/>
            <w:bookmarkEnd w:id="36"/>
            <w:r>
              <w:rPr>
                <w:rFonts w:eastAsia="Times New Roman" w:cs="Times New Roman"/>
                <w:lang w:eastAsia="fr-FR"/>
              </w:rPr>
              <w:t>Disposer de compétences pédagogiques et montrer un intérêt pour la recherche en éducation adaptée au niveau d’enseignement concerné.</w:t>
            </w:r>
            <w:bookmarkStart w:id="37" w:name="__UnoMark__767_2749759877"/>
            <w:bookmarkEnd w:id="37"/>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38" w:name="__UnoMark__768_2749759877"/>
            <w:bookmarkEnd w:id="38"/>
            <w:r>
              <w:rPr>
                <w:rFonts w:eastAsia="Times New Roman" w:cs="Calibri"/>
                <w:lang w:eastAsia="fr-FR"/>
              </w:rPr>
              <w:t xml:space="preserve">C </w:t>
            </w:r>
            <w:bookmarkStart w:id="39" w:name="__UnoMark__769_2749759877"/>
            <w:bookmarkEnd w:id="39"/>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40" w:name="__UnoMark__770_2749759877"/>
            <w:bookmarkEnd w:id="40"/>
            <w:r>
              <w:rPr>
                <w:rFonts w:eastAsia="Times New Roman" w:cs="Calibri"/>
                <w:lang w:eastAsia="fr-FR"/>
              </w:rPr>
              <w:t>D</w:t>
            </w:r>
            <w:bookmarkStart w:id="41" w:name="__UnoMark__771_2749759877"/>
            <w:bookmarkEnd w:id="41"/>
          </w:p>
        </w:tc>
      </w:tr>
      <w:tr>
        <w:trPr>
          <w:trHeight w:val="397"/>
          <w:jc w:val="center"/>
        </w:trPr>
        <w:tc>
          <w:tcPr>
            <w:tcW w:w="9776" w:type="dxa"/>
            <w:gridSpan w:val="3"/>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pPr>
            <w:bookmarkStart w:id="42" w:name="__UnoMark__772_2749759877"/>
            <w:bookmarkEnd w:id="42"/>
            <w:r>
              <w:rPr>
                <w:rFonts w:eastAsia="Times New Roman" w:cs="Calibri"/>
                <w:b/>
                <w:lang w:eastAsia="fr-FR"/>
              </w:rPr>
              <w:t>Numérique</w:t>
            </w:r>
            <w:bookmarkStart w:id="43" w:name="__UnoMark__773_2749759877"/>
            <w:bookmarkEnd w:id="43"/>
          </w:p>
        </w:tc>
      </w:tr>
      <w:tr>
        <w:trPr>
          <w:trHeight w:val="787"/>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44" w:name="__UnoMark__774_2749759877"/>
            <w:bookmarkEnd w:id="44"/>
            <w:r>
              <w:rPr>
                <w:rFonts w:eastAsia="Times New Roman" w:cs="Calibri"/>
                <w:color w:val="000000"/>
                <w:lang w:eastAsia="fr-FR"/>
              </w:rPr>
              <w:t xml:space="preserve">Être capable de piloter l'implémentation du numérique dans les dispositifs d'enseignement et de gouvernance dans le cadre du développement de l'environnement numérique de son établissement et de l’enseignement en Communauté française. </w:t>
            </w:r>
            <w:bookmarkStart w:id="45" w:name="__UnoMark__775_2749759877"/>
            <w:bookmarkEnd w:id="45"/>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46" w:name="__UnoMark__776_2749759877"/>
            <w:bookmarkEnd w:id="46"/>
            <w:r>
              <w:rPr>
                <w:rFonts w:eastAsia="Times New Roman" w:cs="Calibri"/>
                <w:lang w:eastAsia="fr-FR"/>
              </w:rPr>
              <w:t xml:space="preserve">B </w:t>
            </w:r>
            <w:bookmarkStart w:id="47" w:name="__UnoMark__777_2749759877"/>
            <w:bookmarkEnd w:id="47"/>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48" w:name="__UnoMark__778_2749759877"/>
            <w:bookmarkEnd w:id="48"/>
            <w:r>
              <w:rPr>
                <w:rFonts w:eastAsia="Times New Roman" w:cs="Calibri"/>
                <w:lang w:eastAsia="fr-FR"/>
              </w:rPr>
              <w:t>C</w:t>
            </w:r>
            <w:bookmarkStart w:id="49" w:name="__UnoMark__779_2749759877"/>
            <w:bookmarkEnd w:id="49"/>
          </w:p>
        </w:tc>
      </w:tr>
      <w:tr>
        <w:trPr>
          <w:trHeight w:val="397"/>
          <w:jc w:val="center"/>
        </w:trPr>
        <w:tc>
          <w:tcPr>
            <w:tcW w:w="9776" w:type="dxa"/>
            <w:gridSpan w:val="3"/>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pPr>
            <w:bookmarkStart w:id="50" w:name="__UnoMark__780_2749759877"/>
            <w:bookmarkEnd w:id="50"/>
            <w:r>
              <w:rPr>
                <w:rFonts w:eastAsia="Times New Roman" w:cs="Calibri"/>
                <w:b/>
                <w:lang w:eastAsia="fr-FR"/>
              </w:rPr>
              <w:t xml:space="preserve">Méthodologie </w:t>
            </w:r>
            <w:bookmarkStart w:id="51" w:name="__UnoMark__781_2749759877"/>
            <w:bookmarkEnd w:id="51"/>
          </w:p>
        </w:tc>
      </w:tr>
      <w:tr>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52" w:name="__UnoMark__782_2749759877"/>
            <w:bookmarkEnd w:id="52"/>
            <w:r>
              <w:rPr>
                <w:rFonts w:eastAsia="Times New Roman" w:cs="Calibri"/>
                <w:color w:val="000000"/>
                <w:lang w:eastAsia="fr-FR"/>
              </w:rPr>
              <w:t>Être capable de gérer des réunions.</w:t>
            </w:r>
            <w:bookmarkStart w:id="53" w:name="__UnoMark__783_2749759877"/>
            <w:bookmarkEnd w:id="53"/>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54" w:name="__UnoMark__784_2749759877"/>
            <w:bookmarkEnd w:id="54"/>
            <w:r>
              <w:rPr>
                <w:rFonts w:eastAsia="Times New Roman" w:cs="Calibri"/>
                <w:lang w:eastAsia="fr-FR"/>
              </w:rPr>
              <w:t xml:space="preserve">C </w:t>
            </w:r>
            <w:bookmarkStart w:id="55" w:name="__UnoMark__785_2749759877"/>
            <w:bookmarkEnd w:id="55"/>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56" w:name="__UnoMark__786_2749759877"/>
            <w:bookmarkEnd w:id="56"/>
            <w:r>
              <w:rPr>
                <w:rFonts w:eastAsia="Times New Roman" w:cs="Calibri"/>
                <w:lang w:eastAsia="fr-FR"/>
              </w:rPr>
              <w:t>D</w:t>
            </w:r>
            <w:bookmarkStart w:id="57" w:name="__UnoMark__787_2749759877"/>
            <w:bookmarkEnd w:id="57"/>
          </w:p>
        </w:tc>
      </w:tr>
      <w:tr>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58" w:name="__UnoMark__788_2749759877"/>
            <w:bookmarkEnd w:id="58"/>
            <w:r>
              <w:rPr>
                <w:rFonts w:eastAsia="Times New Roman" w:cs="Calibri"/>
                <w:color w:val="000000"/>
                <w:lang w:eastAsia="fr-FR"/>
              </w:rPr>
              <w:t>Être capable de gérer des conflits.</w:t>
            </w:r>
            <w:bookmarkStart w:id="59" w:name="__UnoMark__789_2749759877"/>
            <w:bookmarkEnd w:id="59"/>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60" w:name="__UnoMark__790_2749759877"/>
            <w:bookmarkEnd w:id="60"/>
            <w:r>
              <w:rPr>
                <w:rFonts w:eastAsia="Times New Roman" w:cs="Calibri"/>
                <w:lang w:eastAsia="fr-FR"/>
              </w:rPr>
              <w:t xml:space="preserve">C </w:t>
            </w:r>
            <w:bookmarkStart w:id="61" w:name="__UnoMark__791_2749759877"/>
            <w:bookmarkEnd w:id="61"/>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62" w:name="__UnoMark__792_2749759877"/>
            <w:bookmarkEnd w:id="62"/>
            <w:r>
              <w:rPr>
                <w:rFonts w:eastAsia="Times New Roman" w:cs="Calibri"/>
                <w:lang w:eastAsia="fr-FR"/>
              </w:rPr>
              <w:t>D</w:t>
            </w:r>
            <w:bookmarkStart w:id="63" w:name="__UnoMark__793_2749759877"/>
            <w:bookmarkEnd w:id="63"/>
          </w:p>
        </w:tc>
      </w:tr>
      <w:tr>
        <w:trPr>
          <w:trHeight w:val="397"/>
          <w:jc w:val="center"/>
        </w:trPr>
        <w:tc>
          <w:tcPr>
            <w:tcW w:w="9776" w:type="dxa"/>
            <w:gridSpan w:val="3"/>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pPr>
            <w:bookmarkStart w:id="64" w:name="__UnoMark__794_2749759877"/>
            <w:bookmarkEnd w:id="64"/>
            <w:r>
              <w:rPr>
                <w:rFonts w:eastAsia="Times New Roman" w:cs="Calibri"/>
                <w:b/>
                <w:lang w:eastAsia="fr-FR"/>
              </w:rPr>
              <w:t>Métier</w:t>
            </w:r>
            <w:bookmarkStart w:id="65" w:name="__UnoMark__795_2749759877"/>
            <w:bookmarkEnd w:id="65"/>
          </w:p>
        </w:tc>
      </w:tr>
      <w:tr>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66" w:name="__UnoMark__796_2749759877"/>
            <w:bookmarkStart w:id="67" w:name="__UnoMark__802_2749759877"/>
            <w:bookmarkEnd w:id="66"/>
            <w:bookmarkEnd w:id="67"/>
            <w:r>
              <w:rPr>
                <w:rFonts w:eastAsia="Times New Roman" w:cs="Calibri"/>
                <w:color w:val="000000"/>
                <w:lang w:eastAsia="fr-FR"/>
              </w:rPr>
              <w:t>Avoir des compétences en gestion administrative, financière et matérielle de l’établissement.</w:t>
            </w:r>
            <w:bookmarkStart w:id="68" w:name="__UnoMark__803_2749759877"/>
            <w:bookmarkEnd w:id="68"/>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69" w:name="__UnoMark__804_2749759877"/>
            <w:bookmarkEnd w:id="69"/>
            <w:r>
              <w:rPr>
                <w:rFonts w:eastAsia="Times New Roman" w:cs="Calibri"/>
                <w:lang w:eastAsia="fr-FR"/>
              </w:rPr>
              <w:t>B</w:t>
            </w:r>
            <w:bookmarkStart w:id="70" w:name="__UnoMark__805_2749759877"/>
            <w:bookmarkEnd w:id="70"/>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71" w:name="__UnoMark__806_2749759877"/>
            <w:bookmarkEnd w:id="71"/>
            <w:r>
              <w:rPr>
                <w:rFonts w:eastAsia="Times New Roman" w:cs="Calibri"/>
                <w:lang w:eastAsia="fr-FR"/>
              </w:rPr>
              <w:t>C</w:t>
            </w:r>
            <w:bookmarkStart w:id="72" w:name="__UnoMark__807_2749759877"/>
            <w:bookmarkEnd w:id="72"/>
          </w:p>
        </w:tc>
      </w:tr>
      <w:tr>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73" w:name="__UnoMark__808_2749759877"/>
            <w:bookmarkEnd w:id="73"/>
            <w:r>
              <w:rPr>
                <w:rFonts w:eastAsia="Times New Roman" w:cs="Calibri"/>
                <w:color w:val="000000"/>
                <w:lang w:eastAsia="fr-FR"/>
              </w:rPr>
              <w:t>Avoir des compétences de gestion de l’infrastructure de l'école.</w:t>
            </w:r>
            <w:bookmarkStart w:id="74" w:name="__UnoMark__809_2749759877"/>
            <w:bookmarkEnd w:id="74"/>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75" w:name="__UnoMark__810_2749759877"/>
            <w:bookmarkEnd w:id="75"/>
            <w:r>
              <w:rPr>
                <w:rFonts w:eastAsia="Times New Roman" w:cs="Calibri"/>
                <w:lang w:eastAsia="fr-FR"/>
              </w:rPr>
              <w:t xml:space="preserve">B </w:t>
            </w:r>
            <w:bookmarkStart w:id="76" w:name="__UnoMark__811_2749759877"/>
            <w:bookmarkEnd w:id="76"/>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77" w:name="__UnoMark__812_2749759877"/>
            <w:bookmarkEnd w:id="77"/>
            <w:r>
              <w:rPr>
                <w:rFonts w:eastAsia="Times New Roman" w:cs="Calibri"/>
                <w:lang w:eastAsia="fr-FR"/>
              </w:rPr>
              <w:t>C</w:t>
            </w:r>
            <w:bookmarkStart w:id="78" w:name="__UnoMark__813_2749759877"/>
            <w:bookmarkEnd w:id="78"/>
          </w:p>
        </w:tc>
      </w:tr>
      <w:tr>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79" w:name="__UnoMark__814_2749759877"/>
            <w:bookmarkEnd w:id="79"/>
            <w:r>
              <w:rPr>
                <w:rFonts w:eastAsia="Times New Roman" w:cs="Calibri"/>
                <w:color w:val="000000"/>
                <w:lang w:eastAsia="fr-FR"/>
              </w:rPr>
              <w:t xml:space="preserve">Avoir des compétences de gestion des ressources financières. </w:t>
            </w:r>
            <w:bookmarkStart w:id="80" w:name="__UnoMark__815_2749759877"/>
            <w:bookmarkEnd w:id="80"/>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81" w:name="__UnoMark__816_2749759877"/>
            <w:bookmarkEnd w:id="81"/>
            <w:r>
              <w:rPr>
                <w:rFonts w:eastAsia="Times New Roman" w:cs="Calibri"/>
                <w:lang w:eastAsia="fr-FR"/>
              </w:rPr>
              <w:t xml:space="preserve">A </w:t>
            </w:r>
            <w:bookmarkStart w:id="82" w:name="__UnoMark__817_2749759877"/>
            <w:bookmarkEnd w:id="82"/>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83" w:name="__UnoMark__818_2749759877"/>
            <w:bookmarkStart w:id="84" w:name="__UnoMark__819_2749759877"/>
            <w:bookmarkEnd w:id="83"/>
            <w:bookmarkEnd w:id="84"/>
            <w:r>
              <w:rPr>
                <w:rFonts w:eastAsia="Times New Roman" w:cs="Calibri"/>
                <w:lang w:eastAsia="fr-FR"/>
              </w:rPr>
              <w:t>B</w:t>
            </w:r>
          </w:p>
        </w:tc>
      </w:tr>
      <w:tr>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85" w:name="__UnoMark__820_2749759877"/>
            <w:bookmarkEnd w:id="85"/>
            <w:r>
              <w:rPr>
                <w:rFonts w:eastAsia="Times New Roman" w:cs="Calibri"/>
                <w:color w:val="000000"/>
                <w:lang w:eastAsia="fr-FR"/>
              </w:rPr>
              <w:t xml:space="preserve">Avoir des compétences en gestion des ressources humaines. </w:t>
            </w:r>
            <w:bookmarkStart w:id="86" w:name="__UnoMark__821_2749759877"/>
            <w:bookmarkEnd w:id="86"/>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87" w:name="__UnoMark__822_2749759877"/>
            <w:bookmarkStart w:id="88" w:name="__UnoMark__823_2749759877"/>
            <w:bookmarkEnd w:id="87"/>
            <w:bookmarkEnd w:id="88"/>
            <w:r>
              <w:rPr>
                <w:rFonts w:eastAsia="Times New Roman" w:cs="Calibri"/>
                <w:lang w:eastAsia="fr-FR"/>
              </w:rPr>
              <w:t>C</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89" w:name="__UnoMark__824_2749759877"/>
            <w:bookmarkStart w:id="90" w:name="__UnoMark__825_2749759877"/>
            <w:bookmarkEnd w:id="89"/>
            <w:bookmarkEnd w:id="90"/>
            <w:r>
              <w:rPr>
                <w:rFonts w:eastAsia="Times New Roman" w:cs="Calibri"/>
                <w:lang w:eastAsia="fr-FR"/>
              </w:rPr>
              <w:t>D</w:t>
            </w:r>
          </w:p>
        </w:tc>
      </w:tr>
      <w:tr>
        <w:trPr>
          <w:trHeight w:val="397"/>
          <w:jc w:val="center"/>
        </w:trPr>
        <w:tc>
          <w:tcPr>
            <w:tcW w:w="9776" w:type="dxa"/>
            <w:gridSpan w:val="3"/>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pPr>
            <w:bookmarkStart w:id="91" w:name="__UnoMark__826_2749759877"/>
            <w:bookmarkEnd w:id="91"/>
            <w:r>
              <w:rPr>
                <w:rFonts w:eastAsia="Times New Roman" w:cs="Calibri"/>
                <w:b/>
                <w:lang w:eastAsia="fr-FR"/>
              </w:rPr>
              <w:t>Communication</w:t>
            </w:r>
            <w:bookmarkStart w:id="92" w:name="__UnoMark__827_2749759877"/>
            <w:bookmarkEnd w:id="92"/>
          </w:p>
        </w:tc>
      </w:tr>
      <w:tr>
        <w:trPr>
          <w:trHeight w:val="397"/>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93" w:name="__UnoMark__828_2749759877"/>
            <w:bookmarkEnd w:id="93"/>
            <w:r>
              <w:rPr>
                <w:rFonts w:eastAsia="Times New Roman" w:cs="Calibri"/>
                <w:lang w:eastAsia="fr-FR"/>
              </w:rPr>
              <w:t xml:space="preserve">Maitriser les techniques de la communication écrite. </w:t>
            </w:r>
            <w:bookmarkStart w:id="94" w:name="__UnoMark__829_2749759877"/>
            <w:bookmarkEnd w:id="94"/>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95" w:name="__UnoMark__830_2749759877"/>
            <w:bookmarkEnd w:id="95"/>
            <w:r>
              <w:rPr>
                <w:rFonts w:eastAsia="Times New Roman" w:cs="Calibri"/>
                <w:lang w:eastAsia="fr-FR"/>
              </w:rPr>
              <w:t>C</w:t>
            </w:r>
            <w:bookmarkStart w:id="96" w:name="__UnoMark__831_2749759877"/>
            <w:bookmarkEnd w:id="96"/>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97" w:name="__UnoMark__832_2749759877"/>
            <w:bookmarkEnd w:id="97"/>
            <w:r>
              <w:rPr>
                <w:rFonts w:eastAsia="Times New Roman" w:cs="Calibri"/>
                <w:lang w:eastAsia="fr-FR"/>
              </w:rPr>
              <w:t>D</w:t>
            </w:r>
            <w:bookmarkStart w:id="98" w:name="__UnoMark__833_2749759877"/>
            <w:bookmarkEnd w:id="98"/>
          </w:p>
        </w:tc>
      </w:tr>
      <w:tr>
        <w:trPr>
          <w:trHeight w:val="397"/>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99" w:name="__UnoMark__834_2749759877"/>
            <w:bookmarkEnd w:id="99"/>
            <w:r>
              <w:rPr>
                <w:rFonts w:eastAsia="Times New Roman" w:cs="Calibri"/>
                <w:lang w:eastAsia="fr-FR"/>
              </w:rPr>
              <w:t xml:space="preserve">Maitriser les techniques de la communication orale. </w:t>
            </w:r>
            <w:bookmarkStart w:id="100" w:name="__UnoMark__835_2749759877"/>
            <w:bookmarkEnd w:id="100"/>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101" w:name="__UnoMark__836_2749759877"/>
            <w:bookmarkEnd w:id="101"/>
            <w:r>
              <w:rPr>
                <w:rFonts w:eastAsia="Times New Roman" w:cs="Calibri"/>
                <w:lang w:eastAsia="fr-FR"/>
              </w:rPr>
              <w:t xml:space="preserve">C  </w:t>
            </w:r>
            <w:bookmarkStart w:id="102" w:name="__UnoMark__837_2749759877"/>
            <w:bookmarkEnd w:id="102"/>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103" w:name="__UnoMark__838_2749759877"/>
            <w:bookmarkEnd w:id="103"/>
            <w:r>
              <w:rPr>
                <w:rFonts w:eastAsia="Times New Roman" w:cs="Calibri"/>
                <w:lang w:eastAsia="fr-FR"/>
              </w:rPr>
              <w:t>D</w:t>
            </w:r>
          </w:p>
        </w:tc>
      </w:tr>
    </w:tbl>
    <w:p>
      <w:pPr>
        <w:tabs>
          <w:tab w:val="left" w:pos="1985"/>
        </w:tabs>
        <w:spacing w:after="0" w:line="240" w:lineRule="auto"/>
        <w:jc w:val="both"/>
        <w:rPr>
          <w:rFonts w:ascii="Calibri" w:eastAsia="Times New Roman" w:hAnsi="Calibri" w:cs="Times New Roman"/>
          <w:sz w:val="24"/>
          <w:szCs w:val="24"/>
          <w:lang w:eastAsia="fr-FR"/>
        </w:rPr>
      </w:pPr>
    </w:p>
    <w:p>
      <w:pPr>
        <w:tabs>
          <w:tab w:val="left" w:pos="1985"/>
        </w:tabs>
        <w:spacing w:after="0" w:line="240" w:lineRule="auto"/>
        <w:jc w:val="both"/>
        <w:rPr>
          <w:rFonts w:ascii="Calibri" w:eastAsia="Times New Roman" w:hAnsi="Calibri" w:cs="Times New Roman"/>
          <w:sz w:val="24"/>
          <w:szCs w:val="24"/>
          <w:lang w:eastAsia="fr-FR"/>
        </w:rPr>
        <w:sectPr>
          <w:headerReference w:type="default" r:id="rId21"/>
          <w:footerReference w:type="default" r:id="rId22"/>
          <w:pgSz w:w="11906" w:h="16838"/>
          <w:pgMar w:top="1417" w:right="1417" w:bottom="1417" w:left="1417" w:header="708" w:footer="16" w:gutter="0"/>
          <w:cols w:space="720"/>
          <w:formProt w:val="0"/>
          <w:docGrid w:linePitch="360" w:charSpace="4096"/>
        </w:sectPr>
      </w:pPr>
    </w:p>
    <w:tbl>
      <w:tblPr>
        <w:tblpPr w:leftFromText="141" w:rightFromText="141" w:vertAnchor="text" w:horzAnchor="margin" w:tblpY="-836"/>
        <w:tblW w:w="8673" w:type="dxa"/>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auto"/>
            <w:vAlign w:val="center"/>
          </w:tcPr>
          <w:p>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t>Identité administrative</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Référentiel des responsabilités</w:t>
            </w:r>
          </w:p>
        </w:tc>
        <w:tc>
          <w:tcPr>
            <w:tcW w:w="2891" w:type="dxa"/>
            <w:shd w:val="clear" w:color="auto" w:fill="001D77"/>
            <w:vAlign w:val="center"/>
          </w:tcPr>
          <w:p>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Profil de compétence</w:t>
            </w:r>
          </w:p>
        </w:tc>
      </w:tr>
    </w:tbl>
    <w:tbl>
      <w:tblPr>
        <w:tblpPr w:leftFromText="141" w:rightFromText="141" w:horzAnchor="margin" w:tblpXSpec="center" w:tblpY="337"/>
        <w:tblW w:w="10363" w:type="dxa"/>
        <w:jc w:val="center"/>
        <w:tblCellMar>
          <w:left w:w="70" w:type="dxa"/>
          <w:right w:w="70" w:type="dxa"/>
        </w:tblCellMar>
        <w:tblLook w:val="0000" w:firstRow="0" w:lastRow="0" w:firstColumn="0" w:lastColumn="0" w:noHBand="0" w:noVBand="0"/>
      </w:tblPr>
      <w:tblGrid>
        <w:gridCol w:w="8528"/>
        <w:gridCol w:w="823"/>
        <w:gridCol w:w="852"/>
        <w:gridCol w:w="160"/>
      </w:tblGrid>
      <w:tr>
        <w:trPr>
          <w:cantSplit/>
          <w:trHeight w:val="564"/>
          <w:jc w:val="center"/>
        </w:trPr>
        <w:tc>
          <w:tcPr>
            <w:tcW w:w="10203" w:type="dxa"/>
            <w:gridSpan w:val="3"/>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Times New Roman"/>
                <w:b/>
                <w:color w:val="1F497D"/>
                <w:lang w:eastAsia="fr-FR"/>
              </w:rPr>
            </w:pPr>
            <w:r>
              <w:rPr>
                <w:rFonts w:eastAsia="Times New Roman" w:cs="Times New Roman"/>
                <w:b/>
                <w:sz w:val="24"/>
                <w:lang w:eastAsia="fr-FR"/>
              </w:rPr>
              <w:t>Compétences Comportementales</w:t>
            </w:r>
          </w:p>
        </w:tc>
        <w:tc>
          <w:tcPr>
            <w:tcW w:w="160" w:type="dxa"/>
            <w:shd w:val="clear" w:color="auto" w:fill="auto"/>
          </w:tcPr>
          <w:p/>
        </w:tc>
      </w:tr>
      <w:tr>
        <w:trPr>
          <w:gridAfter w:val="1"/>
          <w:wAfter w:w="160" w:type="dxa"/>
          <w:cantSplit/>
          <w:trHeight w:val="546"/>
          <w:jc w:val="center"/>
        </w:trPr>
        <w:tc>
          <w:tcPr>
            <w:tcW w:w="852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Times New Roman"/>
                <w:b/>
                <w:color w:val="000000"/>
                <w:lang w:eastAsia="fr-FR"/>
              </w:rPr>
            </w:pPr>
            <w:r>
              <w:rPr>
                <w:rFonts w:eastAsia="Times New Roman" w:cs="Times New Roman"/>
                <w:b/>
                <w:color w:val="000000"/>
                <w:lang w:eastAsia="fr-FR"/>
              </w:rPr>
              <w:t>Niveaux de maitrise</w:t>
            </w:r>
          </w:p>
          <w:p>
            <w:pPr>
              <w:numPr>
                <w:ilvl w:val="0"/>
                <w:numId w:val="3"/>
              </w:numPr>
              <w:tabs>
                <w:tab w:val="left" w:pos="1985"/>
              </w:tabs>
              <w:spacing w:after="0" w:line="240" w:lineRule="auto"/>
              <w:contextualSpacing/>
              <w:rPr>
                <w:rFonts w:ascii="Calibri" w:eastAsia="Times New Roman" w:hAnsi="Calibri" w:cs="Times New Roman"/>
                <w:b/>
                <w:color w:val="000000"/>
                <w:lang w:eastAsia="fr-FR"/>
              </w:rPr>
            </w:pPr>
            <w:r>
              <w:rPr>
                <w:rFonts w:eastAsia="Times New Roman" w:cs="Times New Roman"/>
                <w:b/>
                <w:color w:val="000000"/>
                <w:lang w:eastAsia="fr-FR"/>
              </w:rPr>
              <w:t>Aptitude à acquérir la compétence -&gt; avoir des notions théoriques</w:t>
            </w:r>
          </w:p>
          <w:p>
            <w:pPr>
              <w:numPr>
                <w:ilvl w:val="0"/>
                <w:numId w:val="3"/>
              </w:numPr>
              <w:tabs>
                <w:tab w:val="left" w:pos="1985"/>
              </w:tabs>
              <w:spacing w:after="0" w:line="240" w:lineRule="auto"/>
              <w:contextualSpacing/>
              <w:rPr>
                <w:rFonts w:ascii="Calibri" w:eastAsia="Times New Roman" w:hAnsi="Calibri" w:cs="Times New Roman"/>
                <w:b/>
                <w:color w:val="000000"/>
                <w:lang w:eastAsia="fr-FR"/>
              </w:rPr>
            </w:pPr>
            <w:r>
              <w:rPr>
                <w:rFonts w:eastAsia="Times New Roman" w:cs="Times New Roman"/>
                <w:b/>
                <w:color w:val="000000"/>
                <w:lang w:eastAsia="fr-FR"/>
              </w:rPr>
              <w:t>Élémentaire -&gt; agir de façon réactive, avec accompagnement</w:t>
            </w:r>
          </w:p>
          <w:p>
            <w:pPr>
              <w:numPr>
                <w:ilvl w:val="0"/>
                <w:numId w:val="3"/>
              </w:numPr>
              <w:tabs>
                <w:tab w:val="left" w:pos="1985"/>
              </w:tabs>
              <w:spacing w:after="0" w:line="240" w:lineRule="auto"/>
              <w:contextualSpacing/>
              <w:rPr>
                <w:rFonts w:ascii="Calibri" w:eastAsia="Times New Roman" w:hAnsi="Calibri" w:cs="Times New Roman"/>
                <w:b/>
                <w:color w:val="000000"/>
                <w:lang w:eastAsia="fr-FR"/>
              </w:rPr>
            </w:pPr>
            <w:r>
              <w:rPr>
                <w:rFonts w:eastAsia="Times New Roman" w:cs="Times New Roman"/>
                <w:b/>
                <w:color w:val="000000"/>
                <w:lang w:eastAsia="fr-FR"/>
              </w:rPr>
              <w:t>Intermédiaire -&gt; agir de façon proactive, autonome</w:t>
            </w:r>
          </w:p>
          <w:p>
            <w:pPr>
              <w:numPr>
                <w:ilvl w:val="0"/>
                <w:numId w:val="3"/>
              </w:numPr>
              <w:tabs>
                <w:tab w:val="left" w:pos="1985"/>
              </w:tabs>
              <w:spacing w:after="0" w:line="240" w:lineRule="auto"/>
              <w:contextualSpacing/>
              <w:rPr>
                <w:rFonts w:ascii="Calibri" w:eastAsia="Times New Roman" w:hAnsi="Calibri" w:cs="Times New Roman"/>
                <w:b/>
                <w:color w:val="1F497D"/>
                <w:lang w:eastAsia="fr-FR"/>
              </w:rPr>
            </w:pPr>
            <w:r>
              <w:rPr>
                <w:rFonts w:eastAsia="Times New Roman" w:cs="Times New Roman"/>
                <w:b/>
                <w:color w:val="000000"/>
                <w:lang w:eastAsia="fr-FR"/>
              </w:rPr>
              <w:t>Avancé -&gt; agir avec excellence, faire preuve d’anticipation</w:t>
            </w:r>
          </w:p>
          <w:p>
            <w:pPr>
              <w:tabs>
                <w:tab w:val="left" w:pos="1985"/>
              </w:tabs>
              <w:spacing w:after="0" w:line="240" w:lineRule="auto"/>
              <w:ind w:left="785"/>
              <w:contextualSpacing/>
              <w:rPr>
                <w:rFonts w:ascii="Calibri" w:eastAsia="Times New Roman" w:hAnsi="Calibri" w:cs="Times New Roman"/>
                <w:b/>
                <w:color w:val="1F497D"/>
                <w:lang w:eastAsia="fr-FR"/>
              </w:rPr>
            </w:pPr>
          </w:p>
        </w:tc>
        <w:tc>
          <w:tcPr>
            <w:tcW w:w="167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spacing w:after="0" w:line="240" w:lineRule="auto"/>
              <w:jc w:val="center"/>
              <w:rPr>
                <w:rFonts w:ascii="Times New Roman" w:eastAsia="Times New Roman" w:hAnsi="Times New Roman" w:cs="Times New Roman"/>
                <w:sz w:val="24"/>
                <w:szCs w:val="24"/>
                <w:lang w:val="fr-FR" w:eastAsia="fr-FR"/>
              </w:rPr>
            </w:pPr>
            <w:r>
              <w:rPr>
                <w:rFonts w:eastAsia="Times New Roman" w:cs="Calibri"/>
                <w:lang w:eastAsia="fr-FR"/>
              </w:rPr>
              <w:t xml:space="preserve">Niveau attendu : </w:t>
            </w:r>
          </w:p>
        </w:tc>
      </w:tr>
      <w:tr>
        <w:trPr>
          <w:gridAfter w:val="1"/>
          <w:wAfter w:w="160" w:type="dxa"/>
          <w:cantSplit/>
          <w:trHeight w:val="1056"/>
          <w:jc w:val="center"/>
        </w:trPr>
        <w:tc>
          <w:tcPr>
            <w:tcW w:w="852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Times New Roman"/>
                <w:b/>
                <w:color w:val="000000"/>
                <w:lang w:eastAsia="fr-FR"/>
              </w:rPr>
            </w:pPr>
          </w:p>
        </w:tc>
        <w:tc>
          <w:tcPr>
            <w:tcW w:w="823" w:type="dxa"/>
            <w:tcBorders>
              <w:top w:val="single" w:sz="4" w:space="0" w:color="000000"/>
              <w:left w:val="single" w:sz="4" w:space="0" w:color="000000"/>
              <w:bottom w:val="single" w:sz="4" w:space="0" w:color="000000"/>
              <w:right w:val="single" w:sz="4" w:space="0" w:color="000000"/>
            </w:tcBorders>
            <w:shd w:val="clear" w:color="auto" w:fill="FFFFFF"/>
            <w:vAlign w:val="center"/>
          </w:tcPr>
          <w:p>
            <w:pPr>
              <w:spacing w:after="0" w:line="240" w:lineRule="auto"/>
              <w:jc w:val="center"/>
              <w:rPr>
                <w:rFonts w:ascii="Calibri" w:eastAsia="Times New Roman" w:hAnsi="Calibri" w:cs="Calibri"/>
                <w:lang w:eastAsia="fr-FR"/>
              </w:rPr>
            </w:pPr>
            <w:r>
              <w:rPr>
                <w:rFonts w:eastAsia="Times New Roman" w:cs="Calibri"/>
                <w:lang w:eastAsia="fr-FR"/>
              </w:rPr>
              <w:t>En jury</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pPr>
              <w:spacing w:after="0" w:line="240" w:lineRule="auto"/>
              <w:jc w:val="center"/>
              <w:rPr>
                <w:rFonts w:ascii="Calibri" w:eastAsia="Times New Roman" w:hAnsi="Calibri" w:cs="Calibri"/>
                <w:lang w:eastAsia="fr-FR"/>
              </w:rPr>
            </w:pPr>
            <w:r>
              <w:rPr>
                <w:rFonts w:eastAsia="Times New Roman" w:cs="Calibri"/>
                <w:lang w:eastAsia="fr-FR"/>
              </w:rPr>
              <w:t>À terme</w:t>
            </w:r>
          </w:p>
        </w:tc>
      </w:tr>
      <w:tr>
        <w:trPr>
          <w:trHeight w:val="338"/>
          <w:jc w:val="center"/>
        </w:trPr>
        <w:tc>
          <w:tcPr>
            <w:tcW w:w="10203" w:type="dxa"/>
            <w:gridSpan w:val="3"/>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b/>
                <w:lang w:eastAsia="fr-FR"/>
              </w:rPr>
              <w:t>Innover</w:t>
            </w:r>
          </w:p>
        </w:tc>
        <w:tc>
          <w:tcPr>
            <w:tcW w:w="160" w:type="dxa"/>
            <w:shd w:val="clear" w:color="auto" w:fill="auto"/>
          </w:tcP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eastAsia="fr-FR"/>
              </w:rPr>
            </w:pPr>
            <w:r>
              <w:rPr>
                <w:rFonts w:eastAsia="Times New Roman" w:cs="Calibri"/>
                <w:lang w:val="fr-FR" w:eastAsia="fr-FR"/>
              </w:rPr>
              <w:t xml:space="preserve">Avoir une capacité d’observation objective et d’analyse du fonctionnement de son école en vue, le cas échéant, de dégager des pistes d’action alternatives. </w:t>
            </w:r>
          </w:p>
        </w:tc>
        <w:tc>
          <w:tcPr>
            <w:tcW w:w="823"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 xml:space="preserve">C </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D</w:t>
            </w: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Être capable d'accompagner le changement.</w:t>
            </w:r>
          </w:p>
        </w:tc>
        <w:tc>
          <w:tcPr>
            <w:tcW w:w="823"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 xml:space="preserve">C </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D</w:t>
            </w: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Établir des liens entre les diverses données, concevoir des alternatives et tirer des conclusions adéquates.</w:t>
            </w:r>
          </w:p>
        </w:tc>
        <w:tc>
          <w:tcPr>
            <w:tcW w:w="823"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 xml:space="preserve">C </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D</w:t>
            </w:r>
          </w:p>
        </w:tc>
      </w:tr>
      <w:tr>
        <w:trPr>
          <w:trHeight w:val="338"/>
          <w:jc w:val="center"/>
        </w:trPr>
        <w:tc>
          <w:tcPr>
            <w:tcW w:w="10203" w:type="dxa"/>
            <w:gridSpan w:val="3"/>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b/>
                <w:lang w:eastAsia="fr-FR"/>
              </w:rPr>
              <w:t>Souder des équipes</w:t>
            </w:r>
          </w:p>
        </w:tc>
        <w:tc>
          <w:tcPr>
            <w:tcW w:w="160" w:type="dxa"/>
            <w:shd w:val="clear" w:color="auto" w:fill="auto"/>
          </w:tcP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Être capable de prendre des décisions et de s’y tenir après avoir instruit la question à trancher et/ou au terme d’un processus participatif.</w:t>
            </w:r>
          </w:p>
        </w:tc>
        <w:tc>
          <w:tcPr>
            <w:tcW w:w="823"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eastAsia="fr-BE"/>
              </w:rPr>
            </w:pPr>
            <w:r>
              <w:rPr>
                <w:rFonts w:eastAsia="Times New Roman" w:cs="Calibri"/>
                <w:lang w:val="fr-FR" w:eastAsia="fr-FR"/>
              </w:rPr>
              <w:t xml:space="preserve">Reconnaitre les qualités des collaborateurs, les stimuler à prendre des initiatives en leur donnant des responsabilités et en adaptant son propre style de leadership. </w:t>
            </w:r>
          </w:p>
        </w:tc>
        <w:tc>
          <w:tcPr>
            <w:tcW w:w="823"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 xml:space="preserve">C </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r>
      <w:tr>
        <w:trPr>
          <w:trHeight w:val="338"/>
          <w:jc w:val="center"/>
        </w:trPr>
        <w:tc>
          <w:tcPr>
            <w:tcW w:w="10203" w:type="dxa"/>
            <w:gridSpan w:val="3"/>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b/>
                <w:lang w:eastAsia="fr-FR"/>
              </w:rPr>
            </w:pPr>
            <w:r>
              <w:rPr>
                <w:rFonts w:eastAsia="Times New Roman" w:cs="Calibri"/>
                <w:b/>
                <w:lang w:eastAsia="fr-FR"/>
              </w:rPr>
              <w:t>Conseiller</w:t>
            </w:r>
          </w:p>
        </w:tc>
        <w:tc>
          <w:tcPr>
            <w:tcW w:w="160" w:type="dxa"/>
            <w:shd w:val="clear" w:color="auto" w:fill="auto"/>
          </w:tcP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cs="Calibri"/>
                <w:lang w:val="fr-FR"/>
              </w:rPr>
              <w:t>Fournir des conseils à ses interlocuteurs et développer avec eux une relation de confiance basée sur ses expertises.</w:t>
            </w:r>
          </w:p>
        </w:tc>
        <w:tc>
          <w:tcPr>
            <w:tcW w:w="823"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B</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hAnsi="Calibri" w:cs="Calibri"/>
                <w:lang w:val="fr-FR"/>
              </w:rPr>
            </w:pPr>
            <w:r>
              <w:rPr>
                <w:rFonts w:eastAsia="Times New Roman" w:cs="Calibri"/>
                <w:lang w:val="fr-FR" w:eastAsia="fr-FR"/>
              </w:rPr>
              <w:t>Avoir le sens de l’écoute et de la communication ; être capable de manifester de l’empathie, de l’enthousiasme et de la reconnaissance.</w:t>
            </w:r>
          </w:p>
        </w:tc>
        <w:tc>
          <w:tcPr>
            <w:tcW w:w="823"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 xml:space="preserve">C  </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r>
      <w:tr>
        <w:trPr>
          <w:trHeight w:val="338"/>
          <w:jc w:val="center"/>
        </w:trPr>
        <w:tc>
          <w:tcPr>
            <w:tcW w:w="10203" w:type="dxa"/>
            <w:gridSpan w:val="3"/>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b/>
                <w:lang w:eastAsia="fr-FR"/>
              </w:rPr>
              <w:t>Faire preuve de fiabilité</w:t>
            </w:r>
          </w:p>
        </w:tc>
        <w:tc>
          <w:tcPr>
            <w:tcW w:w="160" w:type="dxa"/>
            <w:shd w:val="clear" w:color="auto" w:fill="auto"/>
          </w:tcP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Être cohérent dans ses principes, ses valeurs et son comportement, avoir le sens de l’intérêt général et respecter la dignité de la fonction.</w:t>
            </w:r>
          </w:p>
        </w:tc>
        <w:tc>
          <w:tcPr>
            <w:tcW w:w="823"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S’impliquer et démontrer de la volonté et de l’ambition afin de générer des résultats et assumer la responsabilité de la qualité des actions entreprises.</w:t>
            </w:r>
          </w:p>
        </w:tc>
        <w:tc>
          <w:tcPr>
            <w:tcW w:w="823"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D</w:t>
            </w:r>
          </w:p>
        </w:tc>
      </w:tr>
      <w:tr>
        <w:trPr>
          <w:trHeight w:val="340"/>
          <w:jc w:val="center"/>
        </w:trPr>
        <w:tc>
          <w:tcPr>
            <w:tcW w:w="10203" w:type="dxa"/>
            <w:gridSpan w:val="3"/>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b/>
                <w:lang w:eastAsia="fr-FR"/>
              </w:rPr>
              <w:t>Décider</w:t>
            </w:r>
          </w:p>
        </w:tc>
        <w:tc>
          <w:tcPr>
            <w:tcW w:w="160" w:type="dxa"/>
            <w:shd w:val="clear" w:color="auto" w:fill="auto"/>
          </w:tcPr>
          <w:p/>
        </w:tc>
      </w:tr>
      <w:tr>
        <w:trPr>
          <w:gridAfter w:val="1"/>
          <w:wAfter w:w="160" w:type="dxa"/>
          <w:trHeight w:val="397"/>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eastAsia="Times New Roman" w:cs="Calibri"/>
                <w:lang w:val="fr-FR" w:eastAsia="fr-FR"/>
              </w:rPr>
            </w:pPr>
            <w:r>
              <w:rPr>
                <w:rFonts w:ascii="Calibri" w:hAnsi="Calibri" w:cs="Calibri"/>
              </w:rPr>
              <w:t>Définir les objectifs de manière pro active, étayer des plans d'actions de manière minutieuse en y impliquant des bonnes ressources dans les délais disponibles.</w:t>
            </w:r>
          </w:p>
        </w:tc>
        <w:tc>
          <w:tcPr>
            <w:tcW w:w="823"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eastAsia="Times New Roman" w:cs="Calibri"/>
                <w:lang w:eastAsia="fr-FR"/>
              </w:rPr>
            </w:pPr>
            <w:r>
              <w:rPr>
                <w:rFonts w:eastAsia="Times New Roman" w:cs="Calibri"/>
                <w:lang w:eastAsia="fr-FR"/>
              </w:rPr>
              <w:t>B</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eastAsia="Times New Roman" w:cs="Calibri"/>
                <w:lang w:eastAsia="fr-FR"/>
              </w:rPr>
            </w:pPr>
            <w:r>
              <w:rPr>
                <w:rFonts w:eastAsia="Times New Roman" w:cs="Calibri"/>
                <w:lang w:eastAsia="fr-FR"/>
              </w:rPr>
              <w:t>C</w:t>
            </w:r>
          </w:p>
        </w:tc>
      </w:tr>
      <w:tr>
        <w:trPr>
          <w:gridAfter w:val="1"/>
          <w:wAfter w:w="160" w:type="dxa"/>
          <w:trHeight w:val="397"/>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Prendre des décisions à partir d’informations (in)complètes et initier des actions ciblées afin de mettre en œuvre les décisions.</w:t>
            </w:r>
          </w:p>
        </w:tc>
        <w:tc>
          <w:tcPr>
            <w:tcW w:w="823"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 xml:space="preserve">B </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r>
      <w:tr>
        <w:trPr>
          <w:trHeight w:val="338"/>
          <w:jc w:val="center"/>
        </w:trPr>
        <w:tc>
          <w:tcPr>
            <w:tcW w:w="10203" w:type="dxa"/>
            <w:gridSpan w:val="3"/>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b/>
                <w:lang w:val="fr-FR" w:eastAsia="fr-FR"/>
              </w:rPr>
            </w:pPr>
            <w:r>
              <w:rPr>
                <w:rFonts w:eastAsia="Times New Roman" w:cs="Calibri"/>
                <w:b/>
                <w:lang w:val="fr-FR" w:eastAsia="fr-FR"/>
              </w:rPr>
              <w:t>Gérer le stress</w:t>
            </w:r>
          </w:p>
        </w:tc>
        <w:tc>
          <w:tcPr>
            <w:tcW w:w="160" w:type="dxa"/>
            <w:shd w:val="clear" w:color="auto" w:fill="auto"/>
          </w:tcP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Réagir au stress en se focalisant sur le résultat en gérant ses émotions et en adoptant une attitude constructive face à la critique.</w:t>
            </w:r>
          </w:p>
        </w:tc>
        <w:tc>
          <w:tcPr>
            <w:tcW w:w="823"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val="fr-FR" w:eastAsia="fr-FR"/>
              </w:rPr>
            </w:pPr>
            <w:r>
              <w:rPr>
                <w:rFonts w:eastAsia="Times New Roman" w:cs="Calibri"/>
                <w:lang w:val="fr-FR" w:eastAsia="fr-FR"/>
              </w:rPr>
              <w:t>C</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val="fr-FR" w:eastAsia="fr-FR"/>
              </w:rPr>
            </w:pPr>
            <w:r>
              <w:rPr>
                <w:rFonts w:eastAsia="Times New Roman" w:cs="Calibri"/>
                <w:lang w:val="fr-FR" w:eastAsia="fr-FR"/>
              </w:rPr>
              <w:t>C</w:t>
            </w:r>
          </w:p>
        </w:tc>
      </w:tr>
    </w:tbl>
    <w:p>
      <w:pPr>
        <w:spacing w:after="160" w:line="259" w:lineRule="auto"/>
        <w:rPr>
          <w:rFonts w:ascii="Verdana" w:hAnsi="Verdana"/>
        </w:rPr>
      </w:pPr>
    </w:p>
    <w:p>
      <w:pPr>
        <w:spacing w:after="160" w:line="259" w:lineRule="auto"/>
        <w:rPr>
          <w:rFonts w:ascii="Verdana" w:hAnsi="Verdana"/>
        </w:rPr>
      </w:pPr>
    </w:p>
    <w:p>
      <w:pPr>
        <w:spacing w:after="160" w:line="259" w:lineRule="auto"/>
        <w:rPr>
          <w:rFonts w:ascii="Verdana" w:hAnsi="Verdana"/>
        </w:rPr>
      </w:pPr>
    </w:p>
    <w:p>
      <w:pPr>
        <w:spacing w:after="160" w:line="259" w:lineRule="auto"/>
        <w:rPr>
          <w:rFonts w:ascii="Verdana" w:hAnsi="Verdana"/>
        </w:rPr>
      </w:pPr>
    </w:p>
    <w:p>
      <w:pPr>
        <w:spacing w:after="160" w:line="259" w:lineRule="auto"/>
        <w:rPr>
          <w:rFonts w:ascii="Verdana" w:hAnsi="Verdana"/>
        </w:rPr>
      </w:pPr>
    </w:p>
    <w:p>
      <w:pPr>
        <w:spacing w:after="160" w:line="259" w:lineRule="auto"/>
        <w:rPr>
          <w:rFonts w:ascii="Verdana" w:hAnsi="Verdana"/>
        </w:rPr>
      </w:pPr>
    </w:p>
    <w:tbl>
      <w:tblPr>
        <w:tblpPr w:leftFromText="141" w:rightFromText="141" w:vertAnchor="text" w:horzAnchor="margin" w:tblpY="-836"/>
        <w:tblW w:w="8673" w:type="dxa"/>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auto"/>
            <w:vAlign w:val="center"/>
          </w:tcPr>
          <w:p>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t>Identité administrative</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Référentiel des responsabilités</w:t>
            </w:r>
          </w:p>
        </w:tc>
        <w:tc>
          <w:tcPr>
            <w:tcW w:w="2891" w:type="dxa"/>
            <w:shd w:val="clear" w:color="auto" w:fill="001D77"/>
            <w:vAlign w:val="center"/>
          </w:tcPr>
          <w:p>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Profil de compétence</w:t>
            </w:r>
          </w:p>
        </w:tc>
      </w:tr>
    </w:tbl>
    <w:p>
      <w:pPr>
        <w:shd w:val="clear" w:color="auto" w:fill="001D77"/>
        <w:spacing w:after="160" w:line="259" w:lineRule="auto"/>
        <w:jc w:val="center"/>
        <w:rPr>
          <w:rFonts w:cstheme="minorHAnsi"/>
          <w:sz w:val="28"/>
        </w:rPr>
      </w:pPr>
      <w:r>
        <w:rPr>
          <w:rFonts w:cstheme="minorHAnsi"/>
          <w:i/>
          <w:sz w:val="28"/>
        </w:rPr>
        <w:t>Compétences investiguées lors du Jury</w:t>
      </w:r>
    </w:p>
    <w:p>
      <w:pPr>
        <w:spacing w:after="160" w:line="259" w:lineRule="auto"/>
        <w:rPr>
          <w:rFonts w:cstheme="minorHAnsi"/>
        </w:rPr>
      </w:pPr>
      <w:r>
        <w:rPr>
          <w:rFonts w:cstheme="minorHAnsi"/>
        </w:rPr>
        <w:t xml:space="preserve">Voici un récapitulatif des compétences qui seront investiguées à l’entretien: </w:t>
      </w:r>
    </w:p>
    <w:p>
      <w:pPr>
        <w:jc w:val="both"/>
        <w:rPr>
          <w:rFonts w:ascii="Verdana" w:hAnsi="Verdana"/>
        </w:rPr>
      </w:pPr>
      <w:r>
        <w:rPr>
          <w:rFonts w:cs="Arial"/>
          <w:b/>
          <w:szCs w:val="20"/>
        </w:rPr>
        <w:t>Il faut 60% des points pour faire partie du classement des lauréats (minimum de 60/100) soit : 81/135.</w:t>
      </w:r>
    </w:p>
    <w:tbl>
      <w:tblPr>
        <w:tblpPr w:leftFromText="141" w:rightFromText="141" w:vertAnchor="page" w:horzAnchor="margin" w:tblpY="3676"/>
        <w:tblW w:w="9067" w:type="dxa"/>
        <w:tblCellMar>
          <w:left w:w="70" w:type="dxa"/>
          <w:right w:w="70" w:type="dxa"/>
        </w:tblCellMar>
        <w:tblLook w:val="0000" w:firstRow="0" w:lastRow="0" w:firstColumn="0" w:lastColumn="0" w:noHBand="0" w:noVBand="0"/>
      </w:tblPr>
      <w:tblGrid>
        <w:gridCol w:w="7650"/>
        <w:gridCol w:w="1417"/>
      </w:tblGrid>
      <w:tr>
        <w:trPr>
          <w:trHeight w:val="841"/>
        </w:trPr>
        <w:tc>
          <w:tcPr>
            <w:tcW w:w="76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pPr>
              <w:tabs>
                <w:tab w:val="left" w:pos="1985"/>
              </w:tabs>
              <w:spacing w:after="0" w:line="240" w:lineRule="auto"/>
              <w:jc w:val="center"/>
              <w:rPr>
                <w:rFonts w:ascii="Calibri" w:eastAsia="Times New Roman" w:hAnsi="Calibri" w:cs="Calibri"/>
                <w:b/>
                <w:lang w:val="fr-FR" w:eastAsia="fr-FR"/>
              </w:rPr>
            </w:pPr>
            <w:r>
              <w:rPr>
                <w:rFonts w:eastAsia="Times New Roman" w:cs="Calibri"/>
                <w:b/>
                <w:sz w:val="24"/>
                <w:lang w:val="fr-FR" w:eastAsia="fr-FR"/>
              </w:rPr>
              <w:t>Profil de compétence</w:t>
            </w:r>
          </w:p>
        </w:tc>
        <w:tc>
          <w:tcPr>
            <w:tcW w:w="1417" w:type="dxa"/>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b/>
                <w:lang w:eastAsia="fr-FR"/>
              </w:rPr>
            </w:pPr>
            <w:r>
              <w:rPr>
                <w:rFonts w:eastAsia="Times New Roman" w:cs="Calibri"/>
                <w:b/>
                <w:lang w:eastAsia="fr-FR"/>
              </w:rPr>
              <w:t xml:space="preserve">Pondération </w:t>
            </w:r>
          </w:p>
        </w:tc>
      </w:tr>
      <w:tr>
        <w:trPr>
          <w:trHeight w:val="567"/>
        </w:trPr>
        <w:tc>
          <w:tcPr>
            <w:tcW w:w="7650" w:type="dxa"/>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rPr>
                <w:rFonts w:ascii="Calibri" w:eastAsia="Times New Roman" w:hAnsi="Calibri" w:cs="Calibri"/>
                <w:b/>
                <w:lang w:eastAsia="fr-FR"/>
              </w:rPr>
            </w:pPr>
            <w:r>
              <w:rPr>
                <w:rFonts w:eastAsia="Times New Roman" w:cs="Calibri"/>
                <w:b/>
                <w:lang w:val="fr-FR" w:eastAsia="fr-FR"/>
              </w:rPr>
              <w:t xml:space="preserve">Motivation </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pPr>
              <w:tabs>
                <w:tab w:val="left" w:pos="1985"/>
              </w:tabs>
              <w:spacing w:after="0" w:line="240" w:lineRule="auto"/>
              <w:jc w:val="center"/>
              <w:rPr>
                <w:rFonts w:ascii="Calibri" w:eastAsia="Times New Roman" w:hAnsi="Calibri" w:cs="Calibri"/>
                <w:b/>
                <w:lang w:eastAsia="fr-FR"/>
              </w:rPr>
            </w:pPr>
            <w:r>
              <w:rPr>
                <w:rFonts w:eastAsia="Times New Roman" w:cs="Calibri"/>
                <w:b/>
                <w:lang w:eastAsia="fr-FR"/>
              </w:rPr>
              <w:t>20</w:t>
            </w:r>
          </w:p>
        </w:tc>
      </w:tr>
      <w:tr>
        <w:trPr>
          <w:trHeight w:val="567"/>
        </w:trPr>
        <w:tc>
          <w:tcPr>
            <w:tcW w:w="7650" w:type="dxa"/>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rPr>
                <w:rFonts w:ascii="Calibri" w:eastAsia="Times New Roman" w:hAnsi="Calibri" w:cs="Calibri"/>
                <w:b/>
                <w:lang w:val="fr-FR" w:eastAsia="fr-FR"/>
              </w:rPr>
            </w:pPr>
            <w:r>
              <w:rPr>
                <w:rFonts w:eastAsia="Times New Roman" w:cs="Calibri"/>
                <w:b/>
                <w:lang w:val="fr-FR" w:eastAsia="fr-FR"/>
              </w:rPr>
              <w:t xml:space="preserve">Compétences techniques </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pPr>
              <w:tabs>
                <w:tab w:val="left" w:pos="1985"/>
              </w:tabs>
              <w:spacing w:after="0" w:line="240" w:lineRule="auto"/>
              <w:jc w:val="center"/>
              <w:rPr>
                <w:rFonts w:ascii="Calibri" w:eastAsia="Times New Roman" w:hAnsi="Calibri" w:cs="Calibri"/>
                <w:b/>
                <w:lang w:eastAsia="fr-FR"/>
              </w:rPr>
            </w:pPr>
            <w:r>
              <w:rPr>
                <w:rFonts w:eastAsia="Times New Roman" w:cs="Calibri"/>
                <w:b/>
                <w:lang w:eastAsia="fr-FR"/>
              </w:rPr>
              <w:t>60</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lang w:val="fr-FR" w:eastAsia="fr-FR"/>
              </w:rPr>
            </w:pPr>
            <w:r>
              <w:rPr>
                <w:rFonts w:eastAsia="Times New Roman" w:cs="Calibri"/>
                <w:color w:val="000000"/>
                <w:lang w:eastAsia="fr-FR"/>
              </w:rPr>
              <w:t>Avoir des compétences en gestion administrative, financière et matérielle de l’établissement.</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10</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jc w:val="both"/>
              <w:rPr>
                <w:rFonts w:ascii="Calibri" w:eastAsia="Times New Roman" w:hAnsi="Calibri" w:cs="Calibri"/>
                <w:lang w:val="fr-FR" w:eastAsia="fr-FR"/>
              </w:rPr>
            </w:pPr>
            <w:r>
              <w:rPr>
                <w:rFonts w:eastAsia="Times New Roman" w:cs="Times New Roman"/>
                <w:lang w:eastAsia="fr-FR"/>
              </w:rPr>
              <w:t>Disposer de compétences pédagogiques et montrer un intérêt pour la recherche en éducation adaptée au niveau d’enseignement concerné.</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15</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lang w:eastAsia="fr-FR"/>
              </w:rPr>
            </w:pPr>
            <w:r>
              <w:rPr>
                <w:rFonts w:eastAsia="Times New Roman" w:cs="Times New Roman"/>
                <w:lang w:eastAsia="fr-FR"/>
              </w:rPr>
              <w:t>Avoir la capacité de lire et comprendre un texte juridique.</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10</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lang w:eastAsia="fr-BE"/>
              </w:rPr>
            </w:pPr>
            <w:r>
              <w:rPr>
                <w:rFonts w:eastAsia="Times New Roman" w:cs="Calibri"/>
                <w:color w:val="000000"/>
                <w:lang w:eastAsia="fr-FR"/>
              </w:rPr>
              <w:t>Être capable de gérer des conflits.</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10</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color w:val="000000"/>
                <w:lang w:eastAsia="fr-FR"/>
              </w:rPr>
            </w:pPr>
            <w:r>
              <w:rPr>
                <w:rFonts w:eastAsia="Times New Roman" w:cs="Calibri"/>
                <w:lang w:eastAsia="fr-FR"/>
              </w:rPr>
              <w:t>Maitriser les techniques de la communication orale.</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10</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color w:val="000000"/>
                <w:lang w:eastAsia="fr-FR"/>
              </w:rPr>
            </w:pPr>
            <w:r>
              <w:rPr>
                <w:rFonts w:eastAsia="Times New Roman" w:cs="Calibri"/>
                <w:lang w:eastAsia="fr-FR"/>
              </w:rPr>
              <w:t xml:space="preserve">Maitriser les techniques de la communication écrite. </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5</w:t>
            </w:r>
          </w:p>
        </w:tc>
      </w:tr>
      <w:tr>
        <w:trPr>
          <w:trHeight w:val="567"/>
        </w:trPr>
        <w:tc>
          <w:tcPr>
            <w:tcW w:w="7650" w:type="dxa"/>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rPr>
                <w:rFonts w:ascii="Calibri" w:eastAsia="Times New Roman" w:hAnsi="Calibri" w:cs="Calibri"/>
                <w:b/>
                <w:lang w:val="fr-FR" w:eastAsia="fr-FR"/>
              </w:rPr>
            </w:pPr>
            <w:r>
              <w:rPr>
                <w:rFonts w:eastAsia="Times New Roman" w:cs="Calibri"/>
                <w:b/>
                <w:lang w:val="fr-FR" w:eastAsia="fr-FR"/>
              </w:rPr>
              <w:t xml:space="preserve">Compétences comportementales </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pPr>
              <w:tabs>
                <w:tab w:val="left" w:pos="1985"/>
              </w:tabs>
              <w:spacing w:after="0" w:line="240" w:lineRule="auto"/>
              <w:jc w:val="center"/>
              <w:rPr>
                <w:rFonts w:ascii="Calibri" w:eastAsia="Times New Roman" w:hAnsi="Calibri" w:cs="Calibri"/>
                <w:b/>
                <w:lang w:eastAsia="fr-FR"/>
              </w:rPr>
            </w:pPr>
            <w:r>
              <w:rPr>
                <w:rFonts w:eastAsia="Times New Roman" w:cs="Calibri"/>
                <w:b/>
                <w:lang w:eastAsia="fr-FR"/>
              </w:rPr>
              <w:t>55</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lang w:val="fr-FR" w:eastAsia="fr-FR"/>
              </w:rPr>
            </w:pPr>
            <w:r>
              <w:rPr>
                <w:rFonts w:eastAsia="Times New Roman" w:cs="Calibri"/>
                <w:lang w:val="fr-FR" w:eastAsia="fr-FR"/>
              </w:rPr>
              <w:t>Innover</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20</w:t>
            </w:r>
          </w:p>
        </w:tc>
      </w:tr>
      <w:tr>
        <w:trPr>
          <w:trHeight w:val="397"/>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lang w:val="fr-FR" w:eastAsia="fr-FR"/>
              </w:rPr>
            </w:pPr>
            <w:r>
              <w:rPr>
                <w:rFonts w:eastAsia="Times New Roman" w:cs="Calibri"/>
                <w:lang w:val="fr-FR" w:eastAsia="fr-FR"/>
              </w:rPr>
              <w:t>Souder des équipes</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15</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lang w:val="fr-FR" w:eastAsia="fr-FR"/>
              </w:rPr>
            </w:pPr>
            <w:r>
              <w:rPr>
                <w:rFonts w:eastAsia="Times New Roman" w:cs="Calibri"/>
                <w:lang w:val="fr-FR" w:eastAsia="fr-FR"/>
              </w:rPr>
              <w:t>Conseiller</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val="fr-FR" w:eastAsia="fr-FR"/>
              </w:rPr>
            </w:pPr>
            <w:r>
              <w:rPr>
                <w:rFonts w:eastAsia="Times New Roman" w:cs="Calibri"/>
                <w:i/>
                <w:lang w:val="fr-FR" w:eastAsia="fr-FR"/>
              </w:rPr>
              <w:t>10</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lang w:val="fr-FR" w:eastAsia="fr-FR"/>
              </w:rPr>
            </w:pPr>
            <w:r>
              <w:rPr>
                <w:rFonts w:eastAsia="Times New Roman" w:cs="Calibri"/>
                <w:lang w:val="fr-FR" w:eastAsia="fr-FR"/>
              </w:rPr>
              <w:t>Faire preuve de fiabilité</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val="fr-FR" w:eastAsia="fr-FR"/>
              </w:rPr>
            </w:pPr>
            <w:r>
              <w:rPr>
                <w:rFonts w:eastAsia="Times New Roman" w:cs="Calibri"/>
                <w:i/>
                <w:lang w:val="fr-FR" w:eastAsia="fr-FR"/>
              </w:rPr>
              <w:t>10</w:t>
            </w:r>
          </w:p>
        </w:tc>
      </w:tr>
      <w:tr>
        <w:trPr>
          <w:trHeight w:val="510"/>
        </w:trPr>
        <w:tc>
          <w:tcPr>
            <w:tcW w:w="7650" w:type="dxa"/>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right"/>
              <w:rPr>
                <w:rFonts w:ascii="Calibri" w:eastAsia="Times New Roman" w:hAnsi="Calibri" w:cs="Calibri"/>
                <w:b/>
                <w:lang w:val="fr-FR" w:eastAsia="fr-FR"/>
              </w:rPr>
            </w:pPr>
            <w:r>
              <w:rPr>
                <w:rFonts w:eastAsia="Times New Roman" w:cs="Calibri"/>
                <w:b/>
                <w:lang w:val="fr-FR" w:eastAsia="fr-FR"/>
              </w:rPr>
              <w:t xml:space="preserve">Total </w:t>
            </w:r>
          </w:p>
        </w:tc>
        <w:tc>
          <w:tcPr>
            <w:tcW w:w="1417" w:type="dxa"/>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b/>
                <w:lang w:val="fr-FR" w:eastAsia="fr-FR"/>
              </w:rPr>
            </w:pPr>
            <w:r>
              <w:rPr>
                <w:rFonts w:eastAsia="Times New Roman" w:cs="Calibri"/>
                <w:b/>
                <w:lang w:val="fr-FR" w:eastAsia="fr-FR"/>
              </w:rPr>
              <w:t>135 points</w:t>
            </w:r>
          </w:p>
        </w:tc>
      </w:tr>
    </w:tbl>
    <w:p>
      <w:pPr>
        <w:tabs>
          <w:tab w:val="left" w:pos="3705"/>
        </w:tabs>
        <w:jc w:val="both"/>
      </w:pPr>
    </w:p>
    <w:p>
      <w:pPr>
        <w:tabs>
          <w:tab w:val="left" w:pos="3705"/>
        </w:tabs>
        <w:jc w:val="both"/>
        <w:rPr>
          <w:rFonts w:cs="Times New Roman"/>
        </w:rPr>
      </w:pPr>
      <w:r>
        <w:t xml:space="preserve">Le classement des lauréats sera établi sur base des résultats obtenus lors du jury. A égalité de points, la priorité sera donnée à la personne ayant obtenu le plus grand nombre de points à la partie « Innover </w:t>
      </w:r>
      <w:r>
        <w:rPr>
          <w:rFonts w:eastAsia="Times New Roman"/>
          <w:lang w:eastAsia="fr-FR"/>
        </w:rPr>
        <w:t xml:space="preserve">» et « </w:t>
      </w:r>
      <w:r>
        <w:rPr>
          <w:rFonts w:eastAsia="Times New Roman" w:cs="Times New Roman"/>
          <w:lang w:eastAsia="fr-FR"/>
        </w:rPr>
        <w:t>Disposer de compétences pédagogiques et montrer un intérêt pour la recherche en éducation adaptée au niveau d’enseignement concerné »</w:t>
      </w:r>
      <w:r>
        <w:rPr>
          <w:rFonts w:eastAsia="Times New Roman"/>
          <w:lang w:eastAsia="fr-FR"/>
        </w:rPr>
        <w:t>.</w:t>
      </w:r>
      <w:r>
        <w:t>  Si pour cette partie, des personnes ont des points égaux, leur classement sera établi de manière aléatoire.</w:t>
      </w:r>
    </w:p>
    <w:p>
      <w:pPr>
        <w:jc w:val="both"/>
        <w:rPr>
          <w:highlight w:val="yellow"/>
        </w:rPr>
      </w:pPr>
    </w:p>
    <w:sectPr>
      <w:headerReference w:type="default" r:id="rId23"/>
      <w:footerReference w:type="default" r:id="rId24"/>
      <w:pgSz w:w="11906" w:h="16838"/>
      <w:pgMar w:top="1417" w:right="1417" w:bottom="1417" w:left="1417" w:header="708" w:footer="16"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pPr>
    <w:r>
      <w:rPr>
        <w:noProof/>
        <w:lang w:eastAsia="fr-BE"/>
      </w:rPr>
      <w:drawing>
        <wp:anchor distT="0" distB="0" distL="0" distR="0" simplePos="0" relativeHeight="8" behindDoc="1" locked="0" layoutInCell="1" allowOverlap="1">
          <wp:simplePos x="0" y="0"/>
          <wp:positionH relativeFrom="margin">
            <wp:align>center</wp:align>
          </wp:positionH>
          <wp:positionV relativeFrom="paragraph">
            <wp:posOffset>-309880</wp:posOffset>
          </wp:positionV>
          <wp:extent cx="593725" cy="672465"/>
          <wp:effectExtent l="0" t="0" r="0" b="0"/>
          <wp:wrapNone/>
          <wp:docPr id="3"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2"/>
                  <pic:cNvPicPr>
                    <a:picLocks noChangeAspect="1" noChangeArrowheads="1"/>
                  </pic:cNvPicPr>
                </pic:nvPicPr>
                <pic:blipFill>
                  <a:blip r:embed="rId1"/>
                  <a:srcRect r="78271"/>
                  <a:stretch>
                    <a:fillRect/>
                  </a:stretch>
                </pic:blipFill>
                <pic:spPr bwMode="auto">
                  <a:xfrm>
                    <a:off x="0" y="0"/>
                    <a:ext cx="593725" cy="672465"/>
                  </a:xfrm>
                  <a:prstGeom prst="rect">
                    <a:avLst/>
                  </a:prstGeom>
                </pic:spPr>
              </pic:pic>
            </a:graphicData>
          </a:graphic>
        </wp:anchor>
      </w:drawing>
    </w:r>
    <w:r>
      <w:rPr>
        <w:rFonts w:cs="Calibri"/>
        <w:sz w:val="18"/>
        <w:szCs w:val="18"/>
      </w:rPr>
      <w:tab/>
    </w:r>
    <w:r>
      <w:rPr>
        <w:rFonts w:cs="Calibri"/>
        <w:sz w:val="18"/>
        <w:szCs w:val="18"/>
      </w:rPr>
      <w:tab/>
    </w:r>
    <w:r>
      <w:rPr>
        <w:rFonts w:cs="Calibri"/>
        <w:sz w:val="18"/>
        <w:szCs w:val="18"/>
      </w:rPr>
      <w:tab/>
    </w:r>
    <w:r>
      <w:rPr>
        <w:rFonts w:cs="Calibri"/>
        <w:sz w:val="18"/>
        <w:szCs w:val="18"/>
      </w:rPr>
      <w:tab/>
    </w:r>
    <w:r>
      <w:rPr>
        <w:rFonts w:cs="Calibri"/>
        <w:sz w:val="18"/>
        <w:szCs w:val="18"/>
      </w:rPr>
      <w:tab/>
    </w:r>
    <w:r>
      <w:rPr>
        <w:rFonts w:cs="Calibri"/>
        <w:sz w:val="18"/>
        <w:szCs w:val="18"/>
      </w:rPr>
      <w:tab/>
    </w:r>
    <w:r>
      <w:rPr>
        <w:rFonts w:cs="Calibri"/>
        <w:color w:val="7F7F7F"/>
        <w:sz w:val="18"/>
        <w:szCs w:val="18"/>
      </w:rPr>
      <w:fldChar w:fldCharType="begin"/>
    </w:r>
    <w:r>
      <w:rPr>
        <w:rFonts w:cs="Calibri"/>
        <w:sz w:val="18"/>
        <w:szCs w:val="18"/>
      </w:rPr>
      <w:instrText>PAGE</w:instrText>
    </w:r>
    <w:r>
      <w:rPr>
        <w:rFonts w:cs="Calibri"/>
        <w:sz w:val="18"/>
        <w:szCs w:val="18"/>
      </w:rPr>
      <w:fldChar w:fldCharType="separate"/>
    </w:r>
    <w:r>
      <w:rPr>
        <w:rFonts w:cs="Calibri"/>
        <w:noProof/>
        <w:sz w:val="18"/>
        <w:szCs w:val="18"/>
      </w:rPr>
      <w:t>6</w:t>
    </w:r>
    <w:r>
      <w:rPr>
        <w:rFonts w:cs="Calibri"/>
        <w:sz w:val="18"/>
        <w:szCs w:val="18"/>
      </w:rPr>
      <w:fldChar w:fldCharType="end"/>
    </w:r>
    <w:r>
      <w:rPr>
        <w:rFonts w:cs="Calibri"/>
        <w:color w:val="7F7F7F"/>
        <w:sz w:val="18"/>
        <w:szCs w:val="18"/>
      </w:rPr>
      <w:t xml:space="preserve"> / </w:t>
    </w:r>
    <w:r>
      <w:rPr>
        <w:rFonts w:cs="Calibri"/>
        <w:color w:val="7F7F7F"/>
        <w:sz w:val="18"/>
        <w:szCs w:val="18"/>
      </w:rPr>
      <w:fldChar w:fldCharType="begin"/>
    </w:r>
    <w:r>
      <w:rPr>
        <w:rFonts w:cs="Calibri"/>
        <w:sz w:val="18"/>
        <w:szCs w:val="18"/>
      </w:rPr>
      <w:instrText>NUMPAGES</w:instrText>
    </w:r>
    <w:r>
      <w:rPr>
        <w:rFonts w:cs="Calibri"/>
        <w:sz w:val="18"/>
        <w:szCs w:val="18"/>
      </w:rPr>
      <w:fldChar w:fldCharType="separate"/>
    </w:r>
    <w:r>
      <w:rPr>
        <w:rFonts w:cs="Calibri"/>
        <w:noProof/>
        <w:sz w:val="18"/>
        <w:szCs w:val="18"/>
      </w:rPr>
      <w:t>15</w:t>
    </w:r>
    <w:r>
      <w:rPr>
        <w:rFonts w:cs="Calibri"/>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pPr>
    <w:r>
      <w:rPr>
        <w:noProof/>
        <w:lang w:eastAsia="fr-BE"/>
      </w:rPr>
      <w:drawing>
        <wp:anchor distT="0" distB="0" distL="0" distR="0" simplePos="0" relativeHeight="10" behindDoc="1" locked="0" layoutInCell="1" allowOverlap="1">
          <wp:simplePos x="0" y="0"/>
          <wp:positionH relativeFrom="margin">
            <wp:align>center</wp:align>
          </wp:positionH>
          <wp:positionV relativeFrom="paragraph">
            <wp:posOffset>-375920</wp:posOffset>
          </wp:positionV>
          <wp:extent cx="593725" cy="672465"/>
          <wp:effectExtent l="0" t="0" r="0" b="0"/>
          <wp:wrapNone/>
          <wp:docPr id="4" name="Imag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35"/>
                  <pic:cNvPicPr>
                    <a:picLocks noChangeAspect="1" noChangeArrowheads="1"/>
                  </pic:cNvPicPr>
                </pic:nvPicPr>
                <pic:blipFill>
                  <a:blip r:embed="rId1"/>
                  <a:srcRect r="78271"/>
                  <a:stretch>
                    <a:fillRect/>
                  </a:stretch>
                </pic:blipFill>
                <pic:spPr bwMode="auto">
                  <a:xfrm>
                    <a:off x="0" y="0"/>
                    <a:ext cx="593725" cy="672465"/>
                  </a:xfrm>
                  <a:prstGeom prst="rect">
                    <a:avLst/>
                  </a:prstGeom>
                </pic:spPr>
              </pic:pic>
            </a:graphicData>
          </a:graphic>
        </wp:anchor>
      </w:drawing>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pPr>
    <w:r>
      <w:rPr>
        <w:rFonts w:cs="Calibri"/>
        <w:sz w:val="18"/>
        <w:szCs w:val="18"/>
      </w:rPr>
      <w:tab/>
    </w:r>
    <w:r>
      <w:rPr>
        <w:rFonts w:cs="Calibri"/>
        <w:sz w:val="18"/>
        <w:szCs w:val="18"/>
      </w:rPr>
      <w:tab/>
    </w:r>
    <w:r>
      <w:rPr>
        <w:rFonts w:cs="Calibri"/>
        <w:sz w:val="18"/>
        <w:szCs w:val="18"/>
      </w:rPr>
      <w:tab/>
    </w:r>
    <w:r>
      <w:rPr>
        <w:rFonts w:cs="Calibri"/>
        <w:sz w:val="18"/>
        <w:szCs w:val="18"/>
      </w:rPr>
      <w:tab/>
    </w:r>
    <w:r>
      <w:rPr>
        <w:rFonts w:cs="Calibri"/>
        <w:sz w:val="18"/>
        <w:szCs w:val="18"/>
      </w:rPr>
      <w:tab/>
    </w:r>
    <w:r>
      <w:rPr>
        <w:rFonts w:cs="Calibri"/>
        <w:sz w:val="18"/>
        <w:szCs w:val="18"/>
      </w:rPr>
      <w:tab/>
    </w:r>
    <w:r>
      <w:rPr>
        <w:rFonts w:cs="Calibri"/>
        <w:color w:val="7F7F7F"/>
        <w:sz w:val="18"/>
        <w:szCs w:val="18"/>
      </w:rPr>
      <w:fldChar w:fldCharType="begin"/>
    </w:r>
    <w:r>
      <w:rPr>
        <w:rFonts w:cs="Calibri"/>
        <w:sz w:val="18"/>
        <w:szCs w:val="18"/>
      </w:rPr>
      <w:instrText>PAGE</w:instrText>
    </w:r>
    <w:r>
      <w:rPr>
        <w:rFonts w:cs="Calibri"/>
        <w:sz w:val="18"/>
        <w:szCs w:val="18"/>
      </w:rPr>
      <w:fldChar w:fldCharType="separate"/>
    </w:r>
    <w:r>
      <w:rPr>
        <w:rFonts w:cs="Calibri"/>
        <w:noProof/>
        <w:sz w:val="18"/>
        <w:szCs w:val="18"/>
      </w:rPr>
      <w:t>13</w:t>
    </w:r>
    <w:r>
      <w:rPr>
        <w:rFonts w:cs="Calibri"/>
        <w:sz w:val="18"/>
        <w:szCs w:val="18"/>
      </w:rPr>
      <w:fldChar w:fldCharType="end"/>
    </w:r>
    <w:r>
      <w:rPr>
        <w:rFonts w:cs="Calibri"/>
        <w:color w:val="7F7F7F"/>
        <w:sz w:val="18"/>
        <w:szCs w:val="18"/>
      </w:rPr>
      <w:t xml:space="preserve"> / </w:t>
    </w:r>
    <w:r>
      <w:rPr>
        <w:rFonts w:cs="Calibri"/>
        <w:color w:val="7F7F7F"/>
        <w:sz w:val="18"/>
        <w:szCs w:val="18"/>
      </w:rPr>
      <w:fldChar w:fldCharType="begin"/>
    </w:r>
    <w:r>
      <w:rPr>
        <w:rFonts w:cs="Calibri"/>
        <w:sz w:val="18"/>
        <w:szCs w:val="18"/>
      </w:rPr>
      <w:instrText>NUMPAGES</w:instrText>
    </w:r>
    <w:r>
      <w:rPr>
        <w:rFonts w:cs="Calibri"/>
        <w:sz w:val="18"/>
        <w:szCs w:val="18"/>
      </w:rPr>
      <w:fldChar w:fldCharType="separate"/>
    </w:r>
    <w:r>
      <w:rPr>
        <w:rFonts w:cs="Calibri"/>
        <w:noProof/>
        <w:sz w:val="18"/>
        <w:szCs w:val="18"/>
      </w:rPr>
      <w:t>15</w:t>
    </w:r>
    <w:r>
      <w:rPr>
        <w:rFonts w:cs="Calibri"/>
        <w:sz w:val="18"/>
        <w:szCs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pPr>
    <w:r>
      <w:rPr>
        <w:noProof/>
        <w:lang w:eastAsia="fr-BE"/>
      </w:rPr>
      <w:drawing>
        <wp:anchor distT="0" distB="0" distL="0" distR="0" simplePos="0" relativeHeight="3" behindDoc="1" locked="0" layoutInCell="1" allowOverlap="1">
          <wp:simplePos x="0" y="0"/>
          <wp:positionH relativeFrom="margin">
            <wp:align>center</wp:align>
          </wp:positionH>
          <wp:positionV relativeFrom="paragraph">
            <wp:posOffset>-332740</wp:posOffset>
          </wp:positionV>
          <wp:extent cx="593725" cy="672465"/>
          <wp:effectExtent l="0" t="0" r="0" b="0"/>
          <wp:wrapNone/>
          <wp:docPr id="5"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22"/>
                  <pic:cNvPicPr>
                    <a:picLocks noChangeAspect="1" noChangeArrowheads="1"/>
                  </pic:cNvPicPr>
                </pic:nvPicPr>
                <pic:blipFill>
                  <a:blip r:embed="rId1"/>
                  <a:srcRect r="78271"/>
                  <a:stretch>
                    <a:fillRect/>
                  </a:stretch>
                </pic:blipFill>
                <pic:spPr bwMode="auto">
                  <a:xfrm>
                    <a:off x="0" y="0"/>
                    <a:ext cx="593725" cy="672465"/>
                  </a:xfrm>
                  <a:prstGeom prst="rect">
                    <a:avLst/>
                  </a:prstGeom>
                </pic:spPr>
              </pic:pic>
            </a:graphicData>
          </a:graphic>
        </wp:anchor>
      </w:drawing>
    </w:r>
    <w:r>
      <w:rPr>
        <w:sz w:val="18"/>
      </w:rPr>
      <w:tab/>
    </w:r>
    <w:r>
      <w:rPr>
        <w:sz w:val="18"/>
      </w:rPr>
      <w:tab/>
    </w:r>
    <w:r>
      <w:rPr>
        <w:sz w:val="18"/>
        <w:lang w:val="fr-FR"/>
      </w:rPr>
      <w:t xml:space="preserve">Page </w:t>
    </w:r>
    <w:r>
      <w:rPr>
        <w:b/>
        <w:sz w:val="18"/>
      </w:rPr>
      <w:fldChar w:fldCharType="begin"/>
    </w:r>
    <w:r>
      <w:rPr>
        <w:b/>
        <w:sz w:val="18"/>
      </w:rPr>
      <w:instrText>PAGE \* ARABIC</w:instrText>
    </w:r>
    <w:r>
      <w:rPr>
        <w:b/>
        <w:sz w:val="18"/>
      </w:rPr>
      <w:fldChar w:fldCharType="separate"/>
    </w:r>
    <w:r>
      <w:rPr>
        <w:b/>
        <w:noProof/>
        <w:sz w:val="18"/>
      </w:rPr>
      <w:t>15</w:t>
    </w:r>
    <w:r>
      <w:rPr>
        <w:b/>
        <w:sz w:val="18"/>
      </w:rPr>
      <w:fldChar w:fldCharType="end"/>
    </w:r>
    <w:r>
      <w:rPr>
        <w:sz w:val="18"/>
        <w:lang w:val="fr-FR"/>
      </w:rPr>
      <w:t xml:space="preserve"> sur </w:t>
    </w:r>
    <w:r>
      <w:rPr>
        <w:b/>
        <w:sz w:val="18"/>
      </w:rPr>
      <w:fldChar w:fldCharType="begin"/>
    </w:r>
    <w:r>
      <w:rPr>
        <w:b/>
        <w:sz w:val="18"/>
      </w:rPr>
      <w:instrText>NUMPAGES \* ARABIC</w:instrText>
    </w:r>
    <w:r>
      <w:rPr>
        <w:b/>
        <w:sz w:val="18"/>
      </w:rPr>
      <w:fldChar w:fldCharType="separate"/>
    </w:r>
    <w:r>
      <w:rPr>
        <w:b/>
        <w:noProof/>
        <w:sz w:val="18"/>
      </w:rPr>
      <w:t>15</w:t>
    </w:r>
    <w:r>
      <w:rPr>
        <w:b/>
        <w:sz w:val="18"/>
      </w:rPr>
      <w:fldChar w:fldCharType="end"/>
    </w:r>
  </w:p>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id="1">
    <w:p>
      <w:pPr>
        <w:pStyle w:val="Notedebasdepage"/>
        <w:jc w:val="both"/>
      </w:pPr>
      <w:r>
        <w:rPr>
          <w:rStyle w:val="Caractresdenotedebasdepage"/>
        </w:rPr>
        <w:footnoteRef/>
      </w:r>
      <w:r>
        <w:t xml:space="preserve"> </w:t>
      </w:r>
      <w:r>
        <w:rPr>
          <w:rFonts w:cs="Calibri"/>
        </w:rPr>
        <w:t>Dans l’enseignement secondaire artistique à horaire réduit, les membres du personnel enseignant des disciplines pour lesquelles n’existe pas de formation délivrant un titre de niveau supérieur du 1</w:t>
      </w:r>
      <w:r>
        <w:rPr>
          <w:rFonts w:cs="Calibri"/>
          <w:vertAlign w:val="superscript"/>
        </w:rPr>
        <w:t>er</w:t>
      </w:r>
      <w:r>
        <w:rPr>
          <w:rFonts w:cs="Calibri"/>
        </w:rPr>
        <w:t xml:space="preserve"> degré, peuvent être admis au stage pour autant qu’ils soient porteurs d’un des titres visés aux articles 105 à 108 point a) ou b) du décret du 2 juin 1998 organisant l'enseignement secondaire artistique à horaire réduit subventionné par la Communauté française</w:t>
      </w:r>
      <w:r>
        <w:rPr>
          <w:rFonts w:ascii="Arial" w:hAnsi="Arial" w:cs="Arial"/>
          <w:sz w:val="24"/>
          <w:szCs w:val="24"/>
        </w:rPr>
        <w:t> </w:t>
      </w:r>
    </w:p>
  </w:footnote>
  <w:footnote w:id="2">
    <w:p>
      <w:pPr>
        <w:pStyle w:val="Notedebasdepage"/>
        <w:jc w:val="both"/>
      </w:pPr>
      <w:r>
        <w:rPr>
          <w:rStyle w:val="Caractresdenotedebasdepage"/>
        </w:rPr>
        <w:footnoteRef/>
      </w:r>
      <w:r>
        <w:t xml:space="preserve"> Constituant un titre de capacité tel que défini à l’article 100 du décret du 2 février 2007 fixant le statut des directeurs et directrices dans l’enseignement et directrices dans l’enseignement.</w:t>
      </w:r>
    </w:p>
  </w:footnote>
  <w:footnote w:id="3">
    <w:p>
      <w:pPr>
        <w:pStyle w:val="Notedebasdepage"/>
        <w:jc w:val="both"/>
      </w:pPr>
      <w:r>
        <w:rPr>
          <w:rStyle w:val="Caractresdenotedebasdepage"/>
        </w:rPr>
        <w:footnoteRef/>
      </w:r>
      <w:r>
        <w:t xml:space="preserve"> Commission visée à l’article 29 du décret du 2 février 2007 précité</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lang w:val="nl-NL"/>
      </w:rPr>
    </w:pPr>
    <w:r>
      <w:rPr>
        <w:noProof/>
        <w:lang w:eastAsia="fr-BE"/>
      </w:rPr>
      <w:drawing>
        <wp:anchor distT="0" distB="0" distL="0" distR="0" simplePos="0" relativeHeight="9" behindDoc="1" locked="0" layoutInCell="1" allowOverlap="1">
          <wp:simplePos x="0" y="0"/>
          <wp:positionH relativeFrom="margin">
            <wp:align>center</wp:align>
          </wp:positionH>
          <wp:positionV relativeFrom="paragraph">
            <wp:posOffset>-95250</wp:posOffset>
          </wp:positionV>
          <wp:extent cx="4919345" cy="1211580"/>
          <wp:effectExtent l="0" t="0" r="0" b="0"/>
          <wp:wrapNone/>
          <wp:docPr id="2"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34"/>
                  <pic:cNvPicPr>
                    <a:picLocks noChangeAspect="1" noChangeArrowheads="1"/>
                  </pic:cNvPicPr>
                </pic:nvPicPr>
                <pic:blipFill>
                  <a:blip r:embed="rId1"/>
                  <a:stretch>
                    <a:fillRect/>
                  </a:stretch>
                </pic:blipFill>
                <pic:spPr bwMode="auto">
                  <a:xfrm>
                    <a:off x="0" y="0"/>
                    <a:ext cx="4919345" cy="1211580"/>
                  </a:xfrm>
                  <a:prstGeom prst="rect">
                    <a:avLst/>
                  </a:prstGeom>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F361DB"/>
    <w:multiLevelType w:val="multilevel"/>
    <w:tmpl w:val="ACF24F5C"/>
    <w:lvl w:ilvl="0">
      <w:start w:val="4"/>
      <w:numFmt w:val="bullet"/>
      <w:lvlText w:val="-"/>
      <w:lvlJc w:val="left"/>
      <w:pPr>
        <w:ind w:left="290" w:hanging="360"/>
      </w:pPr>
      <w:rPr>
        <w:rFonts w:ascii="Calibri" w:hAnsi="Calibri" w:cs="Calibri" w:hint="default"/>
        <w:b/>
      </w:rPr>
    </w:lvl>
    <w:lvl w:ilvl="1">
      <w:start w:val="1"/>
      <w:numFmt w:val="bullet"/>
      <w:lvlText w:val="o"/>
      <w:lvlJc w:val="left"/>
      <w:pPr>
        <w:ind w:left="1010" w:hanging="360"/>
      </w:pPr>
      <w:rPr>
        <w:rFonts w:ascii="Courier New" w:hAnsi="Courier New" w:cs="Courier New" w:hint="default"/>
      </w:rPr>
    </w:lvl>
    <w:lvl w:ilvl="2">
      <w:start w:val="1"/>
      <w:numFmt w:val="bullet"/>
      <w:lvlText w:val=""/>
      <w:lvlJc w:val="left"/>
      <w:pPr>
        <w:ind w:left="1730" w:hanging="360"/>
      </w:pPr>
      <w:rPr>
        <w:rFonts w:ascii="Wingdings" w:hAnsi="Wingdings" w:cs="Wingdings" w:hint="default"/>
      </w:rPr>
    </w:lvl>
    <w:lvl w:ilvl="3">
      <w:start w:val="1"/>
      <w:numFmt w:val="bullet"/>
      <w:lvlText w:val=""/>
      <w:lvlJc w:val="left"/>
      <w:pPr>
        <w:ind w:left="2450" w:hanging="360"/>
      </w:pPr>
      <w:rPr>
        <w:rFonts w:ascii="Symbol" w:hAnsi="Symbol" w:cs="Symbol" w:hint="default"/>
      </w:rPr>
    </w:lvl>
    <w:lvl w:ilvl="4">
      <w:start w:val="1"/>
      <w:numFmt w:val="bullet"/>
      <w:lvlText w:val="o"/>
      <w:lvlJc w:val="left"/>
      <w:pPr>
        <w:ind w:left="3170" w:hanging="360"/>
      </w:pPr>
      <w:rPr>
        <w:rFonts w:ascii="Courier New" w:hAnsi="Courier New" w:cs="Courier New" w:hint="default"/>
      </w:rPr>
    </w:lvl>
    <w:lvl w:ilvl="5">
      <w:start w:val="1"/>
      <w:numFmt w:val="bullet"/>
      <w:lvlText w:val=""/>
      <w:lvlJc w:val="left"/>
      <w:pPr>
        <w:ind w:left="3890" w:hanging="360"/>
      </w:pPr>
      <w:rPr>
        <w:rFonts w:ascii="Wingdings" w:hAnsi="Wingdings" w:cs="Wingdings" w:hint="default"/>
      </w:rPr>
    </w:lvl>
    <w:lvl w:ilvl="6">
      <w:start w:val="1"/>
      <w:numFmt w:val="bullet"/>
      <w:lvlText w:val=""/>
      <w:lvlJc w:val="left"/>
      <w:pPr>
        <w:ind w:left="4610" w:hanging="360"/>
      </w:pPr>
      <w:rPr>
        <w:rFonts w:ascii="Symbol" w:hAnsi="Symbol" w:cs="Symbol" w:hint="default"/>
      </w:rPr>
    </w:lvl>
    <w:lvl w:ilvl="7">
      <w:start w:val="1"/>
      <w:numFmt w:val="bullet"/>
      <w:lvlText w:val="o"/>
      <w:lvlJc w:val="left"/>
      <w:pPr>
        <w:ind w:left="5330" w:hanging="360"/>
      </w:pPr>
      <w:rPr>
        <w:rFonts w:ascii="Courier New" w:hAnsi="Courier New" w:cs="Courier New" w:hint="default"/>
      </w:rPr>
    </w:lvl>
    <w:lvl w:ilvl="8">
      <w:start w:val="1"/>
      <w:numFmt w:val="bullet"/>
      <w:lvlText w:val=""/>
      <w:lvlJc w:val="left"/>
      <w:pPr>
        <w:ind w:left="6050" w:hanging="360"/>
      </w:pPr>
      <w:rPr>
        <w:rFonts w:ascii="Wingdings" w:hAnsi="Wingdings" w:cs="Wingdings" w:hint="default"/>
      </w:rPr>
    </w:lvl>
  </w:abstractNum>
  <w:abstractNum w:abstractNumId="1" w15:restartNumberingAfterBreak="0">
    <w:nsid w:val="326E664C"/>
    <w:multiLevelType w:val="hybridMultilevel"/>
    <w:tmpl w:val="DA24133A"/>
    <w:lvl w:ilvl="0" w:tplc="11264874">
      <w:numFmt w:val="bullet"/>
      <w:lvlText w:val="-"/>
      <w:lvlJc w:val="left"/>
      <w:pPr>
        <w:ind w:left="720" w:hanging="360"/>
      </w:pPr>
      <w:rPr>
        <w:rFonts w:ascii="Verdana" w:eastAsiaTheme="minorHAnsi" w:hAnsi="Verdana" w:cstheme="minorBid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 w15:restartNumberingAfterBreak="0">
    <w:nsid w:val="608929F1"/>
    <w:multiLevelType w:val="multilevel"/>
    <w:tmpl w:val="695A0656"/>
    <w:lvl w:ilvl="0">
      <w:start w:val="1"/>
      <w:numFmt w:val="upperLetter"/>
      <w:lvlText w:val="%1."/>
      <w:lvlJc w:val="left"/>
      <w:pPr>
        <w:ind w:left="720" w:hanging="360"/>
      </w:pPr>
      <w:rPr>
        <w:rFonts w:ascii="Calibri" w:eastAsia="Times New Roman" w:hAnsi="Calibri" w:cs="Times New Roman"/>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73071D6F"/>
    <w:multiLevelType w:val="multilevel"/>
    <w:tmpl w:val="C3A0518C"/>
    <w:lvl w:ilvl="0">
      <w:start w:val="1"/>
      <w:numFmt w:val="upperLetter"/>
      <w:lvlText w:val="%1."/>
      <w:lvlJc w:val="left"/>
      <w:pPr>
        <w:ind w:left="785" w:hanging="360"/>
      </w:pPr>
      <w:rPr>
        <w:rFonts w:ascii="Calibri" w:eastAsia="Times New Roman" w:hAnsi="Calibri" w:cs="Times New Roman"/>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773F01BB"/>
    <w:multiLevelType w:val="multilevel"/>
    <w:tmpl w:val="2E721FF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DFBB8AB-F434-4876-A5F4-284EEAA0F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CommentaireCar">
    <w:name w:val="Commentaire Car"/>
    <w:basedOn w:val="Policepardfaut"/>
    <w:link w:val="Commentaire"/>
    <w:uiPriority w:val="99"/>
    <w:qFormat/>
    <w:rPr>
      <w:rFonts w:ascii="Century Schoolbook" w:eastAsia="Times New Roman" w:hAnsi="Century Schoolbook" w:cs="Century Schoolbook"/>
      <w:sz w:val="20"/>
      <w:szCs w:val="20"/>
      <w:lang w:eastAsia="fr-FR"/>
    </w:rPr>
  </w:style>
  <w:style w:type="character" w:customStyle="1" w:styleId="NotedebasdepageCar">
    <w:name w:val="Note de bas de page Car"/>
    <w:basedOn w:val="Policepardfaut"/>
    <w:link w:val="Notedebasdepage"/>
    <w:uiPriority w:val="99"/>
    <w:semiHidden/>
    <w:qFormat/>
    <w:rPr>
      <w:sz w:val="20"/>
      <w:szCs w:val="20"/>
    </w:rPr>
  </w:style>
  <w:style w:type="character" w:customStyle="1" w:styleId="Ancredenotedebasdepage">
    <w:name w:val="Ancre de note de bas de page"/>
    <w:rPr>
      <w:vertAlign w:val="superscript"/>
    </w:rPr>
  </w:style>
  <w:style w:type="character" w:customStyle="1" w:styleId="FootnoteCharacters">
    <w:name w:val="Footnote Characters"/>
    <w:basedOn w:val="Policepardfaut"/>
    <w:uiPriority w:val="99"/>
    <w:unhideWhenUsed/>
    <w:qFormat/>
    <w:rPr>
      <w:vertAlign w:val="superscript"/>
    </w:rPr>
  </w:style>
  <w:style w:type="character" w:styleId="Marquedecommentaire">
    <w:name w:val="annotation reference"/>
    <w:basedOn w:val="Policepardfaut"/>
    <w:uiPriority w:val="99"/>
    <w:semiHidden/>
    <w:unhideWhenUsed/>
    <w:qFormat/>
    <w:rPr>
      <w:sz w:val="16"/>
      <w:szCs w:val="16"/>
    </w:rPr>
  </w:style>
  <w:style w:type="character" w:customStyle="1" w:styleId="En-tteCar">
    <w:name w:val="En-tête Car"/>
    <w:basedOn w:val="Policepardfaut"/>
    <w:uiPriority w:val="99"/>
    <w:qFormat/>
  </w:style>
  <w:style w:type="character" w:customStyle="1" w:styleId="PieddepageCar">
    <w:name w:val="Pied de page Car"/>
    <w:basedOn w:val="Policepardfaut"/>
    <w:link w:val="Pieddepage"/>
    <w:uiPriority w:val="99"/>
    <w:qFormat/>
  </w:style>
  <w:style w:type="character" w:customStyle="1" w:styleId="TextedebullesCar">
    <w:name w:val="Texte de bulles Car"/>
    <w:basedOn w:val="Policepardfaut"/>
    <w:link w:val="Textedebulles"/>
    <w:uiPriority w:val="99"/>
    <w:semiHidden/>
    <w:qFormat/>
    <w:rPr>
      <w:rFonts w:ascii="Segoe UI" w:hAnsi="Segoe UI" w:cs="Segoe UI"/>
      <w:sz w:val="18"/>
      <w:szCs w:val="18"/>
    </w:rPr>
  </w:style>
  <w:style w:type="character" w:customStyle="1" w:styleId="ObjetducommentaireCar">
    <w:name w:val="Objet du commentaire Car"/>
    <w:basedOn w:val="CommentaireCar"/>
    <w:link w:val="Objetducommentaire"/>
    <w:uiPriority w:val="99"/>
    <w:semiHidden/>
    <w:qFormat/>
    <w:rPr>
      <w:rFonts w:ascii="Century Schoolbook" w:eastAsia="Times New Roman" w:hAnsi="Century Schoolbook" w:cs="Century Schoolbook"/>
      <w:b/>
      <w:bCs/>
      <w:sz w:val="20"/>
      <w:szCs w:val="20"/>
      <w:lang w:eastAsia="fr-FR"/>
    </w:rPr>
  </w:style>
  <w:style w:type="character" w:customStyle="1" w:styleId="LienInternet">
    <w:name w:val="Lien Internet"/>
    <w:basedOn w:val="Policepardfaut"/>
    <w:uiPriority w:val="99"/>
    <w:unhideWhenUsed/>
    <w:rPr>
      <w:color w:val="0563C1" w:themeColor="hyperlink"/>
      <w:u w:val="single"/>
    </w:rPr>
  </w:style>
  <w:style w:type="character" w:styleId="lev">
    <w:name w:val="Strong"/>
    <w:basedOn w:val="Policepardfaut"/>
    <w:uiPriority w:val="22"/>
    <w:qFormat/>
    <w:rPr>
      <w:b/>
      <w:bCs/>
    </w:rPr>
  </w:style>
  <w:style w:type="character" w:customStyle="1" w:styleId="TitreCar">
    <w:name w:val="Titre Car"/>
    <w:basedOn w:val="Policepardfaut"/>
    <w:link w:val="Titre"/>
    <w:uiPriority w:val="10"/>
    <w:qFormat/>
    <w:rPr>
      <w:rFonts w:asciiTheme="majorHAnsi" w:eastAsiaTheme="majorEastAsia" w:hAnsiTheme="majorHAnsi" w:cstheme="majorBidi"/>
      <w:b/>
      <w:caps/>
      <w:color w:val="5B9BD5" w:themeColor="accent1"/>
      <w:spacing w:val="30"/>
      <w:kern w:val="2"/>
      <w:sz w:val="72"/>
      <w:szCs w:val="52"/>
      <w:lang w:val="nl-BE" w:eastAsia="nl-BE"/>
      <w14:textOutline w14:w="9525" w14:cap="rnd" w14:cmpd="sng" w14:algn="ctr">
        <w14:noFill/>
        <w14:prstDash w14:val="solid"/>
        <w14:bevel/>
      </w14:textOutline>
    </w:rPr>
  </w:style>
  <w:style w:type="character" w:customStyle="1" w:styleId="Sous-titreCar">
    <w:name w:val="Sous-titre Car"/>
    <w:basedOn w:val="Policepardfaut"/>
    <w:uiPriority w:val="11"/>
    <w:qFormat/>
    <w:rPr>
      <w:rFonts w:ascii="Arial" w:eastAsiaTheme="majorEastAsia" w:hAnsi="Arial" w:cstheme="majorBidi"/>
      <w:b/>
      <w:iCs/>
      <w:caps/>
      <w:color w:val="ED7D31" w:themeColor="accent2"/>
      <w:sz w:val="44"/>
      <w:szCs w:val="24"/>
      <w:lang w:val="nl-BE" w:eastAsia="nl-BE" w:bidi="hi-IN"/>
    </w:rPr>
  </w:style>
  <w:style w:type="character" w:styleId="Textedelespacerserv">
    <w:name w:val="Placeholder Text"/>
    <w:basedOn w:val="Policepardfaut"/>
    <w:uiPriority w:val="99"/>
    <w:semiHidden/>
    <w:qFormat/>
    <w:rPr>
      <w:color w:val="808080"/>
    </w:rPr>
  </w:style>
  <w:style w:type="character" w:customStyle="1" w:styleId="Caractresdenotedebasdepage">
    <w:name w:val="Caractères de note de bas de page"/>
    <w:qFormat/>
  </w:style>
  <w:style w:type="character" w:customStyle="1" w:styleId="Ancredenotedefin">
    <w:name w:val="Ancre de note de fin"/>
    <w:rPr>
      <w:vertAlign w:val="superscript"/>
    </w:rPr>
  </w:style>
  <w:style w:type="character" w:customStyle="1" w:styleId="Caractresdenotedefin">
    <w:name w:val="Caractères de note de fin"/>
    <w:qFormat/>
  </w:style>
  <w:style w:type="paragraph" w:styleId="Titre">
    <w:name w:val="Title"/>
    <w:basedOn w:val="Normal"/>
    <w:next w:val="Corpsdetexte"/>
    <w:link w:val="TitreCar"/>
    <w:uiPriority w:val="10"/>
    <w:qFormat/>
    <w:pPr>
      <w:spacing w:before="3600" w:after="240" w:line="240" w:lineRule="auto"/>
      <w:contextualSpacing/>
    </w:pPr>
    <w:rPr>
      <w:rFonts w:asciiTheme="majorHAnsi" w:eastAsiaTheme="majorEastAsia" w:hAnsiTheme="majorHAnsi" w:cstheme="majorBidi"/>
      <w:b/>
      <w:caps/>
      <w:color w:val="5B9BD5" w:themeColor="accent1"/>
      <w:spacing w:val="30"/>
      <w:kern w:val="2"/>
      <w:sz w:val="72"/>
      <w:szCs w:val="52"/>
      <w:lang w:val="nl-BE" w:eastAsia="nl-BE"/>
      <w14:textOutline w14:w="9525" w14:cap="rnd" w14:cmpd="sng" w14:algn="ctr">
        <w14:noFill/>
        <w14:prstDash w14:val="solid"/>
        <w14:bevel/>
      </w14:textOutline>
    </w:rPr>
  </w:style>
  <w:style w:type="paragraph" w:styleId="Corpsdetexte">
    <w:name w:val="Body Text"/>
    <w:basedOn w:val="Normal"/>
    <w:pPr>
      <w:spacing w:after="140"/>
    </w:pPr>
  </w:style>
  <w:style w:type="paragraph" w:styleId="Liste">
    <w:name w:val="List"/>
    <w:basedOn w:val="Corpsdetexte"/>
    <w:rPr>
      <w:rFonts w:cs="Mangal"/>
    </w:rPr>
  </w:style>
  <w:style w:type="paragraph" w:styleId="Lgende">
    <w:name w:val="caption"/>
    <w:basedOn w:val="Normal"/>
    <w:qFormat/>
    <w:pPr>
      <w:suppressLineNumbers/>
      <w:spacing w:before="120" w:after="120"/>
    </w:pPr>
    <w:rPr>
      <w:rFonts w:cs="Mangal"/>
      <w:i/>
      <w:iCs/>
      <w:sz w:val="24"/>
      <w:szCs w:val="24"/>
    </w:rPr>
  </w:style>
  <w:style w:type="paragraph" w:customStyle="1" w:styleId="Index">
    <w:name w:val="Index"/>
    <w:basedOn w:val="Normal"/>
    <w:qFormat/>
    <w:pPr>
      <w:suppressLineNumbers/>
    </w:pPr>
    <w:rPr>
      <w:rFonts w:cs="Mangal"/>
    </w:rPr>
  </w:style>
  <w:style w:type="paragraph" w:styleId="Commentaire">
    <w:name w:val="annotation text"/>
    <w:basedOn w:val="Normal"/>
    <w:link w:val="CommentaireCar"/>
    <w:uiPriority w:val="99"/>
    <w:qFormat/>
    <w:pPr>
      <w:widowControl w:val="0"/>
      <w:spacing w:after="0" w:line="240" w:lineRule="exact"/>
      <w:jc w:val="both"/>
    </w:pPr>
    <w:rPr>
      <w:rFonts w:ascii="Century Schoolbook" w:eastAsia="Times New Roman" w:hAnsi="Century Schoolbook" w:cs="Century Schoolbook"/>
      <w:sz w:val="20"/>
      <w:szCs w:val="20"/>
      <w:lang w:eastAsia="fr-FR"/>
    </w:rPr>
  </w:style>
  <w:style w:type="paragraph" w:styleId="Notedebasdepage">
    <w:name w:val="footnote text"/>
    <w:basedOn w:val="Normal"/>
    <w:link w:val="NotedebasdepageCar"/>
    <w:uiPriority w:val="99"/>
    <w:semiHidden/>
    <w:unhideWhenUsed/>
    <w:pPr>
      <w:spacing w:after="0" w:line="240" w:lineRule="auto"/>
    </w:pPr>
    <w:rPr>
      <w:sz w:val="20"/>
      <w:szCs w:val="20"/>
    </w:rPr>
  </w:style>
  <w:style w:type="paragraph" w:customStyle="1" w:styleId="En-tteetpieddepage">
    <w:name w:val="En-tête et pied de page"/>
    <w:basedOn w:val="Normal"/>
    <w:qFormat/>
  </w:style>
  <w:style w:type="paragraph" w:styleId="En-tte">
    <w:name w:val="header"/>
    <w:basedOn w:val="Normal"/>
    <w:unhideWhenUsed/>
    <w:pPr>
      <w:tabs>
        <w:tab w:val="center" w:pos="4536"/>
        <w:tab w:val="right" w:pos="9072"/>
      </w:tabs>
      <w:spacing w:after="0" w:line="240" w:lineRule="auto"/>
    </w:pPr>
  </w:style>
  <w:style w:type="paragraph" w:styleId="Pieddepage">
    <w:name w:val="footer"/>
    <w:basedOn w:val="Normal"/>
    <w:link w:val="PieddepageCar"/>
    <w:unhideWhenUsed/>
    <w:pPr>
      <w:tabs>
        <w:tab w:val="center" w:pos="4536"/>
        <w:tab w:val="right" w:pos="9072"/>
      </w:tabs>
      <w:spacing w:after="0" w:line="240" w:lineRule="auto"/>
    </w:pPr>
  </w:style>
  <w:style w:type="paragraph" w:styleId="Textedebulles">
    <w:name w:val="Balloon Text"/>
    <w:basedOn w:val="Normal"/>
    <w:link w:val="TextedebullesCar"/>
    <w:uiPriority w:val="99"/>
    <w:semiHidden/>
    <w:unhideWhenUsed/>
    <w:qFormat/>
    <w:pPr>
      <w:spacing w:after="0" w:line="240" w:lineRule="auto"/>
    </w:pPr>
    <w:rPr>
      <w:rFonts w:ascii="Segoe UI" w:hAnsi="Segoe UI" w:cs="Segoe UI"/>
      <w:sz w:val="18"/>
      <w:szCs w:val="18"/>
    </w:rPr>
  </w:style>
  <w:style w:type="paragraph" w:styleId="Paragraphedeliste">
    <w:name w:val="List Paragraph"/>
    <w:basedOn w:val="Normal"/>
    <w:uiPriority w:val="34"/>
    <w:qFormat/>
    <w:pPr>
      <w:spacing w:after="160" w:line="259" w:lineRule="auto"/>
      <w:ind w:left="720"/>
      <w:contextualSpacing/>
    </w:pPr>
    <w:rPr>
      <w:rFonts w:ascii="Calibri" w:eastAsia="Calibri" w:hAnsi="Calibri" w:cs="Times New Roman"/>
    </w:rPr>
  </w:style>
  <w:style w:type="paragraph" w:styleId="Objetducommentaire">
    <w:name w:val="annotation subject"/>
    <w:basedOn w:val="Commentaire"/>
    <w:next w:val="Commentaire"/>
    <w:link w:val="ObjetducommentaireCar"/>
    <w:uiPriority w:val="99"/>
    <w:semiHidden/>
    <w:unhideWhenUsed/>
    <w:qFormat/>
    <w:pPr>
      <w:widowControl/>
      <w:spacing w:after="200" w:line="240" w:lineRule="auto"/>
      <w:jc w:val="left"/>
    </w:pPr>
    <w:rPr>
      <w:rFonts w:asciiTheme="minorHAnsi" w:eastAsiaTheme="minorHAnsi" w:hAnsiTheme="minorHAnsi" w:cstheme="minorBidi"/>
      <w:b/>
      <w:bCs/>
      <w:lang w:eastAsia="en-US"/>
    </w:rPr>
  </w:style>
  <w:style w:type="paragraph" w:customStyle="1" w:styleId="text-justify">
    <w:name w:val="text-justify"/>
    <w:basedOn w:val="Normal"/>
    <w:qFormat/>
    <w:pPr>
      <w:spacing w:beforeAutospacing="1" w:afterAutospacing="1" w:line="240" w:lineRule="auto"/>
    </w:pPr>
    <w:rPr>
      <w:rFonts w:ascii="Times New Roman" w:eastAsia="Times New Roman" w:hAnsi="Times New Roman" w:cs="Times New Roman"/>
      <w:sz w:val="24"/>
      <w:szCs w:val="24"/>
      <w:lang w:eastAsia="fr-BE"/>
    </w:rPr>
  </w:style>
  <w:style w:type="paragraph" w:styleId="Sous-titre">
    <w:name w:val="Subtitle"/>
    <w:basedOn w:val="Normal"/>
    <w:next w:val="Normal"/>
    <w:uiPriority w:val="11"/>
    <w:qFormat/>
    <w:pPr>
      <w:spacing w:after="0" w:line="273" w:lineRule="auto"/>
    </w:pPr>
    <w:rPr>
      <w:rFonts w:ascii="Arial" w:eastAsiaTheme="majorEastAsia" w:hAnsi="Arial" w:cstheme="majorBidi"/>
      <w:b/>
      <w:iCs/>
      <w:caps/>
      <w:color w:val="ED7D31" w:themeColor="accent2"/>
      <w:sz w:val="44"/>
      <w:szCs w:val="24"/>
      <w:lang w:val="nl-BE" w:eastAsia="nl-BE" w:bidi="hi-IN"/>
    </w:rPr>
  </w:style>
  <w:style w:type="paragraph" w:customStyle="1" w:styleId="Contenudecadre">
    <w:name w:val="Contenu de cadre"/>
    <w:basedOn w:val="Normal"/>
    <w:qFormat/>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27856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election.promotion@w-b-e.be"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www.w-b-e.be/jobs-carriere/evolution-de-carriere/emplois-vacants/"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election.promotion@w-b-e.be" TargetMode="External"/><Relationship Id="rId24" Type="http://schemas.openxmlformats.org/officeDocument/2006/relationships/footer" Target="footer5.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5.xml"/><Relationship Id="rId10" Type="http://schemas.openxmlformats.org/officeDocument/2006/relationships/hyperlink" Target="http://www.arwsl.be/"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mailto:selection.promotion@w-b-e.be" TargetMode="External"/><Relationship Id="rId14" Type="http://schemas.openxmlformats.org/officeDocument/2006/relationships/image" Target="media/image1.jpeg"/><Relationship Id="rId22" Type="http://schemas.openxmlformats.org/officeDocument/2006/relationships/footer" Target="footer4.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_rels/footer5.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Directeur</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3028CE2-2657-4C21-B2A0-B3794C791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4193</Words>
  <Characters>23065</Characters>
  <Application>Microsoft Office Word</Application>
  <DocSecurity>0</DocSecurity>
  <Lines>192</Lines>
  <Paragraphs>54</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27204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Ecole Fondamentale Annexée</dc:creator>
  <dc:description/>
  <cp:lastModifiedBy>ETNIC</cp:lastModifiedBy>
  <cp:revision>2</cp:revision>
  <dcterms:created xsi:type="dcterms:W3CDTF">2020-11-25T08:56:00Z</dcterms:created>
  <dcterms:modified xsi:type="dcterms:W3CDTF">2020-11-25T08:56:00Z</dcterms:modified>
  <dc:language>fr-BE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ETNIC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